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2F35" w14:textId="6EE7D5F9" w:rsidR="00653373" w:rsidRPr="00653373" w:rsidRDefault="00653373" w:rsidP="00653373">
      <w:pPr>
        <w:spacing w:before="100" w:beforeAutospacing="1" w:after="100" w:afterAutospacing="1"/>
        <w:ind w:left="4320"/>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İNFAZIN DURDURULMASI TALEPLİDİR</w:t>
      </w:r>
      <w:r w:rsidRPr="00653373">
        <w:rPr>
          <w:rFonts w:ascii="Times New Roman" w:eastAsia="Times New Roman" w:hAnsi="Times New Roman" w:cs="Times New Roman"/>
          <w:kern w:val="0"/>
          <w:lang w:val="tr-TR"/>
          <w14:ligatures w14:val="none"/>
        </w:rPr>
        <w:br/>
      </w:r>
    </w:p>
    <w:p w14:paraId="4F089BA1" w14:textId="77777777" w:rsidR="00653373" w:rsidRPr="00653373" w:rsidRDefault="00653373" w:rsidP="00653373">
      <w:pPr>
        <w:spacing w:before="100" w:beforeAutospacing="1" w:after="100" w:afterAutospacing="1"/>
        <w:ind w:left="4320"/>
        <w:rPr>
          <w:rFonts w:ascii="Times New Roman" w:eastAsia="Times New Roman" w:hAnsi="Times New Roman" w:cs="Times New Roman"/>
          <w:kern w:val="0"/>
          <w:lang w:val="tr-TR"/>
          <w14:ligatures w14:val="none"/>
        </w:rPr>
      </w:pPr>
    </w:p>
    <w:p w14:paraId="44B3FDCA" w14:textId="77777777" w:rsidR="00653373" w:rsidRPr="00653373" w:rsidRDefault="00653373" w:rsidP="00653373">
      <w:pPr>
        <w:spacing w:before="100" w:beforeAutospacing="1" w:after="100" w:afterAutospacing="1"/>
        <w:jc w:val="center"/>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 AĞIR CEZA MAHKEMESİ BAŞKANLIĞINA</w:t>
      </w:r>
      <w:r w:rsidRPr="00653373">
        <w:rPr>
          <w:rFonts w:ascii="Times New Roman" w:eastAsia="Times New Roman" w:hAnsi="Times New Roman" w:cs="Times New Roman"/>
          <w:kern w:val="0"/>
          <w:lang w:val="tr-TR"/>
          <w14:ligatures w14:val="none"/>
        </w:rPr>
        <w:br/>
        <w:t>(Hükmü veren ilk derece mahkemesi)</w:t>
      </w:r>
    </w:p>
    <w:p w14:paraId="481BF9B0" w14:textId="77777777"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 xml:space="preserve">DOSYA </w:t>
      </w:r>
      <w:proofErr w:type="gramStart"/>
      <w:r w:rsidRPr="00653373">
        <w:rPr>
          <w:rFonts w:ascii="Times New Roman" w:eastAsia="Times New Roman" w:hAnsi="Times New Roman" w:cs="Times New Roman"/>
          <w:b/>
          <w:bCs/>
          <w:kern w:val="0"/>
          <w:lang w:val="tr-TR"/>
          <w14:ligatures w14:val="none"/>
        </w:rPr>
        <w:t>NO :</w:t>
      </w:r>
      <w:proofErr w:type="gramEnd"/>
      <w:r w:rsidRPr="00653373">
        <w:rPr>
          <w:rFonts w:ascii="Times New Roman" w:eastAsia="Times New Roman" w:hAnsi="Times New Roman" w:cs="Times New Roman"/>
          <w:kern w:val="0"/>
          <w:lang w:val="tr-TR"/>
          <w14:ligatures w14:val="none"/>
        </w:rPr>
        <w:t xml:space="preserve"> [20../…] Esas – [20../…] Karar</w:t>
      </w:r>
    </w:p>
    <w:p w14:paraId="040E1396" w14:textId="77777777" w:rsidR="00653373" w:rsidRPr="00653373" w:rsidRDefault="00653373" w:rsidP="00653373">
      <w:pPr>
        <w:spacing w:before="100" w:beforeAutospacing="1" w:after="100" w:afterAutospacing="1"/>
        <w:rPr>
          <w:rFonts w:ascii="Times New Roman" w:eastAsia="Times New Roman" w:hAnsi="Times New Roman" w:cs="Times New Roman"/>
          <w:b/>
          <w:bCs/>
          <w:kern w:val="0"/>
          <w:lang w:val="tr-TR"/>
          <w14:ligatures w14:val="none"/>
        </w:rPr>
      </w:pPr>
    </w:p>
    <w:p w14:paraId="5424D00C" w14:textId="77777777" w:rsidR="00653373" w:rsidRPr="00653373" w:rsidRDefault="00653373" w:rsidP="00653373">
      <w:pPr>
        <w:spacing w:before="100" w:beforeAutospacing="1" w:after="100" w:afterAutospacing="1"/>
        <w:rPr>
          <w:rFonts w:ascii="Times New Roman" w:eastAsia="Times New Roman" w:hAnsi="Times New Roman" w:cs="Times New Roman"/>
          <w:b/>
          <w:bCs/>
          <w:kern w:val="0"/>
          <w:lang w:val="tr-TR"/>
          <w14:ligatures w14:val="none"/>
        </w:rPr>
      </w:pPr>
      <w:r w:rsidRPr="00653373">
        <w:rPr>
          <w:rFonts w:ascii="Times New Roman" w:eastAsia="Times New Roman" w:hAnsi="Times New Roman" w:cs="Times New Roman"/>
          <w:b/>
          <w:bCs/>
          <w:kern w:val="0"/>
          <w:lang w:val="tr-TR"/>
          <w14:ligatures w14:val="none"/>
        </w:rPr>
        <w:t xml:space="preserve">YARGILAMANIN YENİLENMESİNİ </w:t>
      </w:r>
    </w:p>
    <w:p w14:paraId="74469D77" w14:textId="00034AAE" w:rsidR="00653373" w:rsidRPr="00653373" w:rsidRDefault="00653373" w:rsidP="00653373">
      <w:pPr>
        <w:spacing w:before="100" w:beforeAutospacing="1" w:after="100" w:afterAutospacing="1"/>
        <w:rPr>
          <w:rFonts w:ascii="Times New Roman" w:eastAsia="Times New Roman" w:hAnsi="Times New Roman" w:cs="Times New Roman"/>
          <w:kern w:val="0"/>
          <w:u w:val="single"/>
          <w:lang w:val="tr-TR"/>
          <w14:ligatures w14:val="none"/>
        </w:rPr>
      </w:pPr>
      <w:r w:rsidRPr="00653373">
        <w:rPr>
          <w:rFonts w:ascii="Times New Roman" w:eastAsia="Times New Roman" w:hAnsi="Times New Roman" w:cs="Times New Roman"/>
          <w:b/>
          <w:bCs/>
          <w:kern w:val="0"/>
          <w:u w:val="single"/>
          <w:lang w:val="tr-TR"/>
          <w14:ligatures w14:val="none"/>
        </w:rPr>
        <w:t>TALEP EDEN</w:t>
      </w:r>
      <w:r w:rsidR="00AD04E0">
        <w:rPr>
          <w:rFonts w:ascii="Times New Roman" w:eastAsia="Times New Roman" w:hAnsi="Times New Roman" w:cs="Times New Roman"/>
          <w:b/>
          <w:bCs/>
          <w:kern w:val="0"/>
          <w:u w:val="single"/>
          <w:lang w:val="tr-TR"/>
          <w14:ligatures w14:val="none"/>
        </w:rPr>
        <w:t xml:space="preserve">     </w:t>
      </w:r>
      <w:proofErr w:type="gramStart"/>
      <w:r w:rsidR="00AD04E0">
        <w:rPr>
          <w:rFonts w:ascii="Times New Roman" w:eastAsia="Times New Roman" w:hAnsi="Times New Roman" w:cs="Times New Roman"/>
          <w:b/>
          <w:bCs/>
          <w:kern w:val="0"/>
          <w:u w:val="single"/>
          <w:lang w:val="tr-TR"/>
          <w14:ligatures w14:val="none"/>
        </w:rPr>
        <w:t xml:space="preserve">  </w:t>
      </w:r>
      <w:r w:rsidRPr="00653373">
        <w:rPr>
          <w:rFonts w:ascii="Times New Roman" w:eastAsia="Times New Roman" w:hAnsi="Times New Roman" w:cs="Times New Roman"/>
          <w:b/>
          <w:bCs/>
          <w:kern w:val="0"/>
          <w:u w:val="single"/>
          <w:lang w:val="tr-TR"/>
          <w14:ligatures w14:val="none"/>
        </w:rPr>
        <w:t>:</w:t>
      </w:r>
      <w:proofErr w:type="gramEnd"/>
    </w:p>
    <w:p w14:paraId="3C459E85" w14:textId="236052C8" w:rsidR="00653373" w:rsidRPr="00653373" w:rsidRDefault="00653373" w:rsidP="00653373">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u w:val="single"/>
          <w:lang w:val="tr-TR"/>
          <w14:ligatures w14:val="none"/>
        </w:rPr>
        <w:t>KONU</w:t>
      </w:r>
      <w:r w:rsidR="008708C0">
        <w:rPr>
          <w:rFonts w:ascii="Times New Roman" w:eastAsia="Times New Roman" w:hAnsi="Times New Roman" w:cs="Times New Roman"/>
          <w:b/>
          <w:bCs/>
          <w:kern w:val="0"/>
          <w:u w:val="single"/>
          <w:lang w:val="tr-TR"/>
          <w14:ligatures w14:val="none"/>
        </w:rPr>
        <w:t xml:space="preserve">      </w:t>
      </w:r>
      <w:r w:rsidR="00AD04E0">
        <w:rPr>
          <w:rFonts w:ascii="Times New Roman" w:eastAsia="Times New Roman" w:hAnsi="Times New Roman" w:cs="Times New Roman"/>
          <w:b/>
          <w:bCs/>
          <w:kern w:val="0"/>
          <w:u w:val="single"/>
          <w:lang w:val="tr-TR"/>
          <w14:ligatures w14:val="none"/>
        </w:rPr>
        <w:t xml:space="preserve">      </w:t>
      </w:r>
      <w:proofErr w:type="gramStart"/>
      <w:r w:rsidR="00AD04E0">
        <w:rPr>
          <w:rFonts w:ascii="Times New Roman" w:eastAsia="Times New Roman" w:hAnsi="Times New Roman" w:cs="Times New Roman"/>
          <w:b/>
          <w:bCs/>
          <w:kern w:val="0"/>
          <w:u w:val="single"/>
          <w:lang w:val="tr-TR"/>
          <w14:ligatures w14:val="none"/>
        </w:rPr>
        <w:t xml:space="preserve">  </w:t>
      </w:r>
      <w:r w:rsidRPr="00653373">
        <w:rPr>
          <w:rFonts w:ascii="Times New Roman" w:eastAsia="Times New Roman" w:hAnsi="Times New Roman" w:cs="Times New Roman"/>
          <w:b/>
          <w:bCs/>
          <w:kern w:val="0"/>
          <w:u w:val="single"/>
          <w:lang w:val="tr-TR"/>
          <w14:ligatures w14:val="none"/>
        </w:rPr>
        <w:t>:</w:t>
      </w:r>
      <w:proofErr w:type="gramEnd"/>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kern w:val="0"/>
          <w:lang w:val="tr-TR"/>
          <w14:ligatures w14:val="none"/>
        </w:rPr>
        <w:t xml:space="preserve">Avrupa İnsan Hakları Mahkemesi’nin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kararının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kesinleşmesi üzerine;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 xml:space="preserve">, yargılama sonuçlanıncaya kadar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infazın durdurulmasına</w:t>
      </w:r>
      <w:r w:rsidRPr="00653373">
        <w:rPr>
          <w:rFonts w:ascii="Times New Roman" w:eastAsia="Times New Roman" w:hAnsi="Times New Roman" w:cs="Times New Roman"/>
          <w:kern w:val="0"/>
          <w:lang w:val="tr-TR"/>
          <w14:ligatures w14:val="none"/>
        </w:rPr>
        <w:t xml:space="preserve"> (ve bu kapsamda tahliyeye) ve yapılacak yeniden yargılama sonunda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gereğince </w:t>
      </w:r>
      <w:r w:rsidR="008708C0">
        <w:rPr>
          <w:rFonts w:ascii="Times New Roman" w:eastAsia="Times New Roman" w:hAnsi="Times New Roman" w:cs="Times New Roman"/>
          <w:b/>
          <w:bCs/>
          <w:kern w:val="0"/>
          <w:lang w:val="tr-TR"/>
          <w14:ligatures w14:val="none"/>
        </w:rPr>
        <w:t>BERAATİME</w:t>
      </w:r>
      <w:r w:rsidRPr="00653373">
        <w:rPr>
          <w:rFonts w:ascii="Times New Roman" w:eastAsia="Times New Roman" w:hAnsi="Times New Roman" w:cs="Times New Roman"/>
          <w:kern w:val="0"/>
          <w:lang w:val="tr-TR"/>
          <w14:ligatures w14:val="none"/>
        </w:rPr>
        <w:t xml:space="preserve"> karar verilmesi istemidir.</w:t>
      </w:r>
    </w:p>
    <w:p w14:paraId="55DF23D0"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AÇIKLAMALAR</w:t>
      </w:r>
    </w:p>
    <w:p w14:paraId="6C6DD80C" w14:textId="77777777"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Mahkemenizin [tarih] tarihli, [E/K] sayılı kararı ile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kapsamında “silahlı terör örgütüne üyelik” suçundan </w:t>
      </w:r>
      <w:r w:rsidRPr="00653373">
        <w:rPr>
          <w:rFonts w:ascii="Times New Roman" w:eastAsia="Times New Roman" w:hAnsi="Times New Roman" w:cs="Times New Roman"/>
          <w:b/>
          <w:bCs/>
          <w:kern w:val="0"/>
          <w:lang w:val="tr-TR"/>
          <w14:ligatures w14:val="none"/>
        </w:rPr>
        <w:t>6 yıl 3 ay hapis cezası</w:t>
      </w:r>
      <w:r w:rsidRPr="00653373">
        <w:rPr>
          <w:rFonts w:ascii="Times New Roman" w:eastAsia="Times New Roman" w:hAnsi="Times New Roman" w:cs="Times New Roman"/>
          <w:kern w:val="0"/>
          <w:lang w:val="tr-TR"/>
          <w14:ligatures w14:val="none"/>
        </w:rPr>
        <w:t xml:space="preserve"> ile cezalandırılmama karar verilmiş; hüküm [kesinleşme tarihi / Yargıtay ilam tarihi] itibarıyla </w:t>
      </w:r>
      <w:r w:rsidRPr="00653373">
        <w:rPr>
          <w:rFonts w:ascii="Times New Roman" w:eastAsia="Times New Roman" w:hAnsi="Times New Roman" w:cs="Times New Roman"/>
          <w:b/>
          <w:bCs/>
          <w:kern w:val="0"/>
          <w:lang w:val="tr-TR"/>
          <w14:ligatures w14:val="none"/>
        </w:rPr>
        <w:t>kesinleşmiştir</w:t>
      </w:r>
      <w:r w:rsidRPr="00653373">
        <w:rPr>
          <w:rFonts w:ascii="Times New Roman" w:eastAsia="Times New Roman" w:hAnsi="Times New Roman" w:cs="Times New Roman"/>
          <w:kern w:val="0"/>
          <w:lang w:val="tr-TR"/>
          <w14:ligatures w14:val="none"/>
        </w:rPr>
        <w:t>.</w:t>
      </w:r>
    </w:p>
    <w:p w14:paraId="4D063D5E" w14:textId="682F62FA"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Kesinleşen mahkûmiyet hükmüne ilişkin olarak yaptığım AİHM başvurusu sonucunda, Avrupa İnsan Hakları Mahkemesi </w:t>
      </w:r>
      <w:r w:rsidRPr="00653373">
        <w:rPr>
          <w:rFonts w:ascii="Times New Roman" w:eastAsia="Times New Roman" w:hAnsi="Times New Roman" w:cs="Times New Roman"/>
          <w:b/>
          <w:bCs/>
          <w:kern w:val="0"/>
          <w:lang w:val="tr-TR"/>
          <w14:ligatures w14:val="none"/>
        </w:rPr>
        <w:t>22.07.2025</w:t>
      </w:r>
      <w:r w:rsidRPr="00653373">
        <w:rPr>
          <w:rFonts w:ascii="Times New Roman" w:eastAsia="Times New Roman" w:hAnsi="Times New Roman" w:cs="Times New Roman"/>
          <w:kern w:val="0"/>
          <w:lang w:val="tr-TR"/>
          <w14:ligatures w14:val="none"/>
        </w:rPr>
        <w:t xml:space="preserve"> tarihli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kararında (239 başvurucu)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(kanunsuz </w:t>
      </w:r>
      <w:r w:rsidR="00C10752">
        <w:rPr>
          <w:rFonts w:ascii="Times New Roman" w:eastAsia="Times New Roman" w:hAnsi="Times New Roman" w:cs="Times New Roman"/>
          <w:kern w:val="0"/>
          <w:lang w:val="tr-TR"/>
          <w14:ligatures w14:val="none"/>
        </w:rPr>
        <w:t xml:space="preserve">suç ve </w:t>
      </w:r>
      <w:r w:rsidRPr="00653373">
        <w:rPr>
          <w:rFonts w:ascii="Times New Roman" w:eastAsia="Times New Roman" w:hAnsi="Times New Roman" w:cs="Times New Roman"/>
          <w:kern w:val="0"/>
          <w:lang w:val="tr-TR"/>
          <w14:ligatures w14:val="none"/>
        </w:rPr>
        <w:t xml:space="preserve">ceza olmaz) ve </w:t>
      </w: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(adil yargılanma hakkı) hükümlerinin ihlal edildiğine karar vermiş; Hükümetin itirazının reddi üzerine karar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w:t>
      </w:r>
      <w:r w:rsidRPr="00653373">
        <w:rPr>
          <w:rFonts w:ascii="Times New Roman" w:eastAsia="Times New Roman" w:hAnsi="Times New Roman" w:cs="Times New Roman"/>
          <w:b/>
          <w:bCs/>
          <w:kern w:val="0"/>
          <w:lang w:val="tr-TR"/>
          <w14:ligatures w14:val="none"/>
        </w:rPr>
        <w:t>kesinleşmiştir</w:t>
      </w:r>
      <w:r w:rsidRPr="00653373">
        <w:rPr>
          <w:rFonts w:ascii="Times New Roman" w:eastAsia="Times New Roman" w:hAnsi="Times New Roman" w:cs="Times New Roman"/>
          <w:kern w:val="0"/>
          <w:lang w:val="tr-TR"/>
          <w14:ligatures w14:val="none"/>
        </w:rPr>
        <w:t>.</w:t>
      </w:r>
    </w:p>
    <w:p w14:paraId="036D267B" w14:textId="77777777"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AİHM’nin kesinleşmiş ihlal kararı karşısında,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kapsamında yargılamanın yenilenmesi zorunluluğu doğmuştur. İhlalin mahkûmiyetin temelini oluşturan değerlendirme ve delil rejimine ilişkin olması nedeniyle, ihlalin ancak </w:t>
      </w:r>
      <w:r w:rsidRPr="00653373">
        <w:rPr>
          <w:rFonts w:ascii="Times New Roman" w:eastAsia="Times New Roman" w:hAnsi="Times New Roman" w:cs="Times New Roman"/>
          <w:b/>
          <w:bCs/>
          <w:kern w:val="0"/>
          <w:lang w:val="tr-TR"/>
          <w14:ligatures w14:val="none"/>
        </w:rPr>
        <w:t>yeniden yargılama</w:t>
      </w:r>
      <w:r w:rsidRPr="00653373">
        <w:rPr>
          <w:rFonts w:ascii="Times New Roman" w:eastAsia="Times New Roman" w:hAnsi="Times New Roman" w:cs="Times New Roman"/>
          <w:kern w:val="0"/>
          <w:lang w:val="tr-TR"/>
          <w14:ligatures w14:val="none"/>
        </w:rPr>
        <w:t xml:space="preserve"> ile giderilmesi mümkündür.</w:t>
      </w:r>
    </w:p>
    <w:p w14:paraId="313568D7" w14:textId="4F46B170"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Ayrıca, AİHM’nin tespit ettiği ihlaller mahkûmiyetin dayandığı yargılama </w:t>
      </w:r>
      <w:r w:rsidR="00C10752">
        <w:rPr>
          <w:rFonts w:ascii="Times New Roman" w:eastAsia="Times New Roman" w:hAnsi="Times New Roman" w:cs="Times New Roman"/>
          <w:kern w:val="0"/>
          <w:lang w:val="tr-TR"/>
          <w14:ligatures w14:val="none"/>
        </w:rPr>
        <w:t xml:space="preserve">gerekçelerinin </w:t>
      </w:r>
      <w:r w:rsidRPr="00653373">
        <w:rPr>
          <w:rFonts w:ascii="Times New Roman" w:eastAsia="Times New Roman" w:hAnsi="Times New Roman" w:cs="Times New Roman"/>
          <w:kern w:val="0"/>
          <w:lang w:val="tr-TR"/>
          <w14:ligatures w14:val="none"/>
        </w:rPr>
        <w:t xml:space="preserve">temelden sakat olduğunu ortaya koyduğundan, yargılama sonuna kadar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infazın durdurulmasına</w:t>
      </w:r>
      <w:r w:rsidRPr="00653373">
        <w:rPr>
          <w:rFonts w:ascii="Times New Roman" w:eastAsia="Times New Roman" w:hAnsi="Times New Roman" w:cs="Times New Roman"/>
          <w:kern w:val="0"/>
          <w:lang w:val="tr-TR"/>
          <w14:ligatures w14:val="none"/>
        </w:rPr>
        <w:t xml:space="preserve"> karar verilmesi gerekmektedir.</w:t>
      </w:r>
    </w:p>
    <w:p w14:paraId="6903C50A"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 MAHKÛMİYET HÜKMÜNÜN DAYANDIĞI GEREKÇELER</w:t>
      </w:r>
    </w:p>
    <w:p w14:paraId="50AAEEAB" w14:textId="77777777" w:rsidR="00653373" w:rsidRPr="00653373" w:rsidRDefault="00653373" w:rsidP="008708C0">
      <w:pPr>
        <w:numPr>
          <w:ilvl w:val="0"/>
          <w:numId w:val="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Mahkemenizin [tarih] tarihli, [E/K] sayılı kararı ile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uyarınca mahkûmiyetime hükmedilmiştir.</w:t>
      </w:r>
    </w:p>
    <w:p w14:paraId="4892EE63" w14:textId="77777777" w:rsidR="00653373" w:rsidRPr="00653373" w:rsidRDefault="00653373" w:rsidP="008708C0">
      <w:pPr>
        <w:numPr>
          <w:ilvl w:val="0"/>
          <w:numId w:val="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Mahkûmiyetin dayandırıldığı olgu ve değerlendirmeler özetle;</w:t>
      </w:r>
    </w:p>
    <w:p w14:paraId="47D024C1" w14:textId="54E72472"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proofErr w:type="spellStart"/>
      <w:r w:rsidRPr="00653373">
        <w:rPr>
          <w:rFonts w:ascii="Times New Roman" w:eastAsia="Times New Roman" w:hAnsi="Times New Roman" w:cs="Times New Roman"/>
          <w:b/>
          <w:bCs/>
          <w:kern w:val="0"/>
          <w:lang w:val="tr-TR"/>
          <w14:ligatures w14:val="none"/>
        </w:rPr>
        <w:lastRenderedPageBreak/>
        <w:t>ByLock</w:t>
      </w:r>
      <w:proofErr w:type="spellEnd"/>
      <w:r w:rsidRPr="00653373">
        <w:rPr>
          <w:rFonts w:ascii="Times New Roman" w:eastAsia="Times New Roman" w:hAnsi="Times New Roman" w:cs="Times New Roman"/>
          <w:kern w:val="0"/>
          <w:lang w:val="tr-TR"/>
          <w14:ligatures w14:val="none"/>
        </w:rPr>
        <w:t xml:space="preserve"> uygulamasının kullanıldığı</w:t>
      </w:r>
      <w:r w:rsidR="00C10752">
        <w:rPr>
          <w:rFonts w:ascii="Times New Roman" w:eastAsia="Times New Roman" w:hAnsi="Times New Roman" w:cs="Times New Roman"/>
          <w:kern w:val="0"/>
          <w:lang w:val="tr-TR"/>
          <w14:ligatures w14:val="none"/>
        </w:rPr>
        <w:t>m</w:t>
      </w:r>
      <w:r w:rsidRPr="00653373">
        <w:rPr>
          <w:rFonts w:ascii="Times New Roman" w:eastAsia="Times New Roman" w:hAnsi="Times New Roman" w:cs="Times New Roman"/>
          <w:kern w:val="0"/>
          <w:lang w:val="tr-TR"/>
          <w14:ligatures w14:val="none"/>
        </w:rPr>
        <w:t xml:space="preserve"> iddiası,</w:t>
      </w:r>
    </w:p>
    <w:p w14:paraId="171EE352"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Bank Asya</w:t>
      </w:r>
      <w:r w:rsidRPr="00653373">
        <w:rPr>
          <w:rFonts w:ascii="Times New Roman" w:eastAsia="Times New Roman" w:hAnsi="Times New Roman" w:cs="Times New Roman"/>
          <w:kern w:val="0"/>
          <w:lang w:val="tr-TR"/>
          <w14:ligatures w14:val="none"/>
        </w:rPr>
        <w:t xml:space="preserve"> nezdinde hesap/işlemler,</w:t>
      </w:r>
    </w:p>
    <w:p w14:paraId="17038726"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w:t>
      </w:r>
      <w:proofErr w:type="gramStart"/>
      <w:r w:rsidRPr="00653373">
        <w:rPr>
          <w:rFonts w:ascii="Times New Roman" w:eastAsia="Times New Roman" w:hAnsi="Times New Roman" w:cs="Times New Roman"/>
          <w:kern w:val="0"/>
          <w:lang w:val="tr-TR"/>
          <w14:ligatures w14:val="none"/>
        </w:rPr>
        <w:t>dernek</w:t>
      </w:r>
      <w:proofErr w:type="gramEnd"/>
      <w:r w:rsidRPr="00653373">
        <w:rPr>
          <w:rFonts w:ascii="Times New Roman" w:eastAsia="Times New Roman" w:hAnsi="Times New Roman" w:cs="Times New Roman"/>
          <w:kern w:val="0"/>
          <w:lang w:val="tr-TR"/>
          <w14:ligatures w14:val="none"/>
        </w:rPr>
        <w:t>] / [sendika] üyeliği,</w:t>
      </w:r>
    </w:p>
    <w:p w14:paraId="7D6485C8"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[okul]da eğitim/çocukların eğitimine ilişkin hususlar,</w:t>
      </w:r>
    </w:p>
    <w:p w14:paraId="146D46B7"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w:t>
      </w:r>
      <w:proofErr w:type="gramStart"/>
      <w:r w:rsidRPr="00653373">
        <w:rPr>
          <w:rFonts w:ascii="Times New Roman" w:eastAsia="Times New Roman" w:hAnsi="Times New Roman" w:cs="Times New Roman"/>
          <w:kern w:val="0"/>
          <w:lang w:val="tr-TR"/>
          <w14:ligatures w14:val="none"/>
        </w:rPr>
        <w:t>gazete</w:t>
      </w:r>
      <w:proofErr w:type="gramEnd"/>
      <w:r w:rsidRPr="00653373">
        <w:rPr>
          <w:rFonts w:ascii="Times New Roman" w:eastAsia="Times New Roman" w:hAnsi="Times New Roman" w:cs="Times New Roman"/>
          <w:kern w:val="0"/>
          <w:lang w:val="tr-TR"/>
          <w14:ligatures w14:val="none"/>
        </w:rPr>
        <w:t>/dergi] aboneliği,</w:t>
      </w:r>
    </w:p>
    <w:p w14:paraId="3F3E941A"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1 USD bulundurma,</w:t>
      </w:r>
    </w:p>
    <w:p w14:paraId="5EC47712"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w:t>
      </w:r>
      <w:proofErr w:type="gramStart"/>
      <w:r w:rsidRPr="00653373">
        <w:rPr>
          <w:rFonts w:ascii="Times New Roman" w:eastAsia="Times New Roman" w:hAnsi="Times New Roman" w:cs="Times New Roman"/>
          <w:kern w:val="0"/>
          <w:lang w:val="tr-TR"/>
          <w14:ligatures w14:val="none"/>
        </w:rPr>
        <w:t>tanık</w:t>
      </w:r>
      <w:proofErr w:type="gramEnd"/>
      <w:r w:rsidRPr="00653373">
        <w:rPr>
          <w:rFonts w:ascii="Times New Roman" w:eastAsia="Times New Roman" w:hAnsi="Times New Roman" w:cs="Times New Roman"/>
          <w:kern w:val="0"/>
          <w:lang w:val="tr-TR"/>
          <w14:ligatures w14:val="none"/>
        </w:rPr>
        <w:t>] beyanı ve “sohbet” iddiaları,</w:t>
      </w:r>
    </w:p>
    <w:p w14:paraId="3218CE46" w14:textId="24964A58"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proofErr w:type="gramStart"/>
      <w:r w:rsidRPr="00653373">
        <w:rPr>
          <w:rFonts w:ascii="Times New Roman" w:eastAsia="Times New Roman" w:hAnsi="Times New Roman" w:cs="Times New Roman"/>
          <w:kern w:val="0"/>
          <w:lang w:val="tr-TR"/>
          <w14:ligatures w14:val="none"/>
        </w:rPr>
        <w:t>soruşturma</w:t>
      </w:r>
      <w:proofErr w:type="gramEnd"/>
      <w:r w:rsidRPr="00653373">
        <w:rPr>
          <w:rFonts w:ascii="Times New Roman" w:eastAsia="Times New Roman" w:hAnsi="Times New Roman" w:cs="Times New Roman"/>
          <w:kern w:val="0"/>
          <w:lang w:val="tr-TR"/>
          <w14:ligatures w14:val="none"/>
        </w:rPr>
        <w:t xml:space="preserve"> geçirmiş bazı kişilerle görüşme/irtibat iddiaları</w:t>
      </w:r>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kern w:val="0"/>
          <w:lang w:val="tr-TR"/>
          <w14:ligatures w14:val="none"/>
        </w:rPr>
        <w:t>(vb.) olgularına dayandırılmıştır.</w:t>
      </w:r>
    </w:p>
    <w:p w14:paraId="3E28C2FA" w14:textId="0F4C1AA4" w:rsidR="00653373" w:rsidRPr="00653373" w:rsidRDefault="00653373" w:rsidP="008708C0">
      <w:pPr>
        <w:numPr>
          <w:ilvl w:val="0"/>
          <w:numId w:val="4"/>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anılan mahkûmiyet hükmünün verilme biçimi ve dayandığı değerlendirme çerçevesi yönünden </w:t>
      </w: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m.7</w:t>
      </w:r>
      <w:r w:rsidRPr="00653373">
        <w:rPr>
          <w:rFonts w:ascii="Times New Roman" w:eastAsia="Times New Roman" w:hAnsi="Times New Roman" w:cs="Times New Roman"/>
          <w:kern w:val="0"/>
          <w:lang w:val="tr-TR"/>
          <w14:ligatures w14:val="none"/>
        </w:rPr>
        <w:t xml:space="preserve"> ihlali tespit etmiş; bu ihlalin mahkûmiyet hükmünün esasına etkili olduğu sonucuna varmıştır.</w:t>
      </w:r>
    </w:p>
    <w:p w14:paraId="3CCCBB3A"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II. YARGILAMANIN YENİLENMESİ TALEBİNİN HUKUKİ DAYANAĞI</w:t>
      </w:r>
    </w:p>
    <w:p w14:paraId="153761B6" w14:textId="77777777" w:rsidR="00653373" w:rsidRPr="00653373" w:rsidRDefault="00653373" w:rsidP="008708C0">
      <w:pPr>
        <w:numPr>
          <w:ilvl w:val="0"/>
          <w:numId w:val="5"/>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Hükümlü lehine yargılamanın yenilenmesi sebepleri </w:t>
      </w:r>
      <w:r w:rsidRPr="00653373">
        <w:rPr>
          <w:rFonts w:ascii="Times New Roman" w:eastAsia="Times New Roman" w:hAnsi="Times New Roman" w:cs="Times New Roman"/>
          <w:b/>
          <w:bCs/>
          <w:kern w:val="0"/>
          <w:lang w:val="tr-TR"/>
          <w14:ligatures w14:val="none"/>
        </w:rPr>
        <w:t>CMK m.311</w:t>
      </w:r>
      <w:r w:rsidRPr="00653373">
        <w:rPr>
          <w:rFonts w:ascii="Times New Roman" w:eastAsia="Times New Roman" w:hAnsi="Times New Roman" w:cs="Times New Roman"/>
          <w:kern w:val="0"/>
          <w:lang w:val="tr-TR"/>
          <w14:ligatures w14:val="none"/>
        </w:rPr>
        <w:t xml:space="preserve">’de düzenlenmiştir. Anılan maddenin </w:t>
      </w:r>
      <w:r w:rsidRPr="00653373">
        <w:rPr>
          <w:rFonts w:ascii="Times New Roman" w:eastAsia="Times New Roman" w:hAnsi="Times New Roman" w:cs="Times New Roman"/>
          <w:b/>
          <w:bCs/>
          <w:kern w:val="0"/>
          <w:lang w:val="tr-TR"/>
          <w14:ligatures w14:val="none"/>
        </w:rPr>
        <w:t>(1)(f)</w:t>
      </w:r>
      <w:r w:rsidRPr="00653373">
        <w:rPr>
          <w:rFonts w:ascii="Times New Roman" w:eastAsia="Times New Roman" w:hAnsi="Times New Roman" w:cs="Times New Roman"/>
          <w:kern w:val="0"/>
          <w:lang w:val="tr-TR"/>
          <w14:ligatures w14:val="none"/>
        </w:rPr>
        <w:t xml:space="preserve"> bendi şöyledir:</w:t>
      </w:r>
    </w:p>
    <w:p w14:paraId="08AC3B18" w14:textId="77777777" w:rsidR="00653373" w:rsidRPr="00653373" w:rsidRDefault="00653373" w:rsidP="008708C0">
      <w:pPr>
        <w:spacing w:beforeAutospacing="1" w:afterAutospacing="1"/>
        <w:jc w:val="both"/>
        <w:rPr>
          <w:rFonts w:ascii="Times New Roman" w:eastAsia="Times New Roman" w:hAnsi="Times New Roman" w:cs="Times New Roman"/>
          <w:i/>
          <w:iCs/>
          <w:kern w:val="0"/>
          <w:lang w:val="tr-TR"/>
          <w14:ligatures w14:val="none"/>
        </w:rPr>
      </w:pPr>
      <w:r w:rsidRPr="00653373">
        <w:rPr>
          <w:rFonts w:ascii="Times New Roman" w:eastAsia="Times New Roman" w:hAnsi="Times New Roman" w:cs="Times New Roman"/>
          <w:i/>
          <w:iCs/>
          <w:kern w:val="0"/>
          <w:lang w:val="tr-TR"/>
          <w14:ligatures w14:val="none"/>
        </w:rPr>
        <w:t>“Ceza hükmünün, İnsan Haklarını ve Ana Hürriyetleri Korumaya Dair Sözleşmenin veya eki protokollerin ihlâli suretiyle verildiğinin ve hükmün bu aykırılığa dayandığının, Avrupa İnsan Hakları Mahkemesinin kesinleşmiş kararıyla tespit edilmiş olması (…) Bu hâlde yargılamanın yenilenmesi, Avrupa İnsan Hakları Mahkemesi kararının kesinleştiği tarihten itibaren bir yıl içinde istenebilir.”</w:t>
      </w:r>
    </w:p>
    <w:p w14:paraId="5263AF21" w14:textId="77777777" w:rsidR="00653373" w:rsidRPr="00653373" w:rsidRDefault="00653373" w:rsidP="008708C0">
      <w:pPr>
        <w:numPr>
          <w:ilvl w:val="0"/>
          <w:numId w:val="6"/>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Somut olayda, AİHM’nin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kesinleşen ihlal kararı mevcut olup; mahkûmiyet hükmü, AİHM’nin ihlal tespitine konu ettiği usul ve yorumlara dayanmıştır. Bu nedenle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koşulları oluşmuştur.</w:t>
      </w:r>
    </w:p>
    <w:p w14:paraId="715BD8BB" w14:textId="2BEDA640" w:rsidR="00653373" w:rsidRPr="00653373" w:rsidRDefault="00653373" w:rsidP="008708C0">
      <w:pPr>
        <w:numPr>
          <w:ilvl w:val="0"/>
          <w:numId w:val="6"/>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Öte yandan, yargılamanın yenilenmesi istemi üzerine, mahkemece gerekli görülmesi halinde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infazın durdurulmasına</w:t>
      </w:r>
      <w:r w:rsidRPr="00653373">
        <w:rPr>
          <w:rFonts w:ascii="Times New Roman" w:eastAsia="Times New Roman" w:hAnsi="Times New Roman" w:cs="Times New Roman"/>
          <w:kern w:val="0"/>
          <w:lang w:val="tr-TR"/>
          <w14:ligatures w14:val="none"/>
        </w:rPr>
        <w:t xml:space="preserve"> karar verilebileceğinden, aşağıda açıklanan ihlal ve telafisi güç zararlar dikkate alınarak infazın durdurulması da talep edilmektedir.</w:t>
      </w:r>
    </w:p>
    <w:p w14:paraId="6B9682EE" w14:textId="4188E136" w:rsidR="00653373" w:rsidRPr="00653373" w:rsidRDefault="00653373" w:rsidP="008708C0">
      <w:pPr>
        <w:spacing w:before="100" w:beforeAutospacing="1" w:after="100" w:afterAutospacing="1"/>
        <w:jc w:val="both"/>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 xml:space="preserve">III. YARGILAMANIN YENİLENMESİ TALEBİNİN NEDENİ: </w:t>
      </w:r>
    </w:p>
    <w:p w14:paraId="0829CE30"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w:t>
      </w:r>
      <w:r w:rsidRPr="00653373">
        <w:rPr>
          <w:rFonts w:ascii="Times New Roman" w:eastAsia="Times New Roman" w:hAnsi="Times New Roman" w:cs="Times New Roman"/>
          <w:b/>
          <w:bCs/>
          <w:kern w:val="0"/>
          <w:lang w:val="tr-TR"/>
          <w14:ligatures w14:val="none"/>
        </w:rPr>
        <w:t>22.07.2025</w:t>
      </w:r>
      <w:r w:rsidRPr="00653373">
        <w:rPr>
          <w:rFonts w:ascii="Times New Roman" w:eastAsia="Times New Roman" w:hAnsi="Times New Roman" w:cs="Times New Roman"/>
          <w:kern w:val="0"/>
          <w:lang w:val="tr-TR"/>
          <w14:ligatures w14:val="none"/>
        </w:rPr>
        <w:t xml:space="preserve"> tarihli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kararında (239 başvurucu)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m.6/1</w:t>
      </w:r>
      <w:r w:rsidRPr="00653373">
        <w:rPr>
          <w:rFonts w:ascii="Times New Roman" w:eastAsia="Times New Roman" w:hAnsi="Times New Roman" w:cs="Times New Roman"/>
          <w:kern w:val="0"/>
          <w:lang w:val="tr-TR"/>
          <w14:ligatures w14:val="none"/>
        </w:rPr>
        <w:t xml:space="preserve"> hükümlerinin ihlal edildiğini tespit etmiş; karar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kesinleşmiştir. Mahkeme, başvuruların olgusal ve hukuki çerçevesini değerlendirirken, </w:t>
      </w:r>
      <w:r w:rsidRPr="00653373">
        <w:rPr>
          <w:rFonts w:ascii="Times New Roman" w:eastAsia="Times New Roman" w:hAnsi="Times New Roman" w:cs="Times New Roman"/>
          <w:b/>
          <w:bCs/>
          <w:kern w:val="0"/>
          <w:lang w:val="tr-TR"/>
          <w14:ligatures w14:val="none"/>
        </w:rPr>
        <w:t>Yüksel Yalçınkaya/Türkiye</w:t>
      </w:r>
      <w:r w:rsidRPr="00653373">
        <w:rPr>
          <w:rFonts w:ascii="Times New Roman" w:eastAsia="Times New Roman" w:hAnsi="Times New Roman" w:cs="Times New Roman"/>
          <w:kern w:val="0"/>
          <w:lang w:val="tr-TR"/>
          <w14:ligatures w14:val="none"/>
        </w:rPr>
        <w:t xml:space="preserve"> kararında ortaya koyduğu ilkelerden ayrılmayı gerektiren bir durum bulunmadığını açıkça belirtmiş; ulusal mahkemelerin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kullanımına ilişkin </w:t>
      </w:r>
      <w:r w:rsidRPr="00653373">
        <w:rPr>
          <w:rFonts w:ascii="Times New Roman" w:eastAsia="Times New Roman" w:hAnsi="Times New Roman" w:cs="Times New Roman"/>
          <w:b/>
          <w:bCs/>
          <w:kern w:val="0"/>
          <w:lang w:val="tr-TR"/>
          <w14:ligatures w14:val="none"/>
        </w:rPr>
        <w:t>kategorik/tek tip</w:t>
      </w:r>
      <w:r w:rsidRPr="00653373">
        <w:rPr>
          <w:rFonts w:ascii="Times New Roman" w:eastAsia="Times New Roman" w:hAnsi="Times New Roman" w:cs="Times New Roman"/>
          <w:kern w:val="0"/>
          <w:lang w:val="tr-TR"/>
          <w14:ligatures w14:val="none"/>
        </w:rPr>
        <w:t xml:space="preserve"> yaklaşımının doğurduğu </w:t>
      </w:r>
      <w:r w:rsidRPr="00653373">
        <w:rPr>
          <w:rFonts w:ascii="Times New Roman" w:eastAsia="Times New Roman" w:hAnsi="Times New Roman" w:cs="Times New Roman"/>
          <w:b/>
          <w:bCs/>
          <w:kern w:val="0"/>
          <w:lang w:val="tr-TR"/>
          <w14:ligatures w14:val="none"/>
        </w:rPr>
        <w:t>yapısal sorunların</w:t>
      </w:r>
      <w:r w:rsidRPr="00653373">
        <w:rPr>
          <w:rFonts w:ascii="Times New Roman" w:eastAsia="Times New Roman" w:hAnsi="Times New Roman" w:cs="Times New Roman"/>
          <w:kern w:val="0"/>
          <w:lang w:val="tr-TR"/>
          <w14:ligatures w14:val="none"/>
        </w:rPr>
        <w:t xml:space="preserve"> Demirhan dosyalarında da aynı şekilde mevcut olduğunu vurgulamıştır (Demirhan, §§ 35–38; ayrıca bkz. § 47).</w:t>
      </w:r>
    </w:p>
    <w:p w14:paraId="46D7C64D"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Demirhan kararının odağında, terör örgütü üyeliği mahkûmiyetlerinin </w:t>
      </w:r>
      <w:r w:rsidRPr="00653373">
        <w:rPr>
          <w:rFonts w:ascii="Times New Roman" w:eastAsia="Times New Roman" w:hAnsi="Times New Roman" w:cs="Times New Roman"/>
          <w:b/>
          <w:bCs/>
          <w:kern w:val="0"/>
          <w:lang w:val="tr-TR"/>
          <w14:ligatures w14:val="none"/>
        </w:rPr>
        <w:t xml:space="preserve">esas itibarıyla </w:t>
      </w:r>
      <w:proofErr w:type="spellStart"/>
      <w:r w:rsidRPr="00653373">
        <w:rPr>
          <w:rFonts w:ascii="Times New Roman" w:eastAsia="Times New Roman" w:hAnsi="Times New Roman" w:cs="Times New Roman"/>
          <w:b/>
          <w:bCs/>
          <w:kern w:val="0"/>
          <w:lang w:val="tr-TR"/>
          <w14:ligatures w14:val="none"/>
        </w:rPr>
        <w:t>ByLock</w:t>
      </w:r>
      <w:proofErr w:type="spellEnd"/>
      <w:r w:rsidRPr="00653373">
        <w:rPr>
          <w:rFonts w:ascii="Times New Roman" w:eastAsia="Times New Roman" w:hAnsi="Times New Roman" w:cs="Times New Roman"/>
          <w:b/>
          <w:bCs/>
          <w:kern w:val="0"/>
          <w:lang w:val="tr-TR"/>
          <w14:ligatures w14:val="none"/>
        </w:rPr>
        <w:t xml:space="preserve"> kullanımının tespiti</w:t>
      </w:r>
      <w:r w:rsidRPr="00653373">
        <w:rPr>
          <w:rFonts w:ascii="Times New Roman" w:eastAsia="Times New Roman" w:hAnsi="Times New Roman" w:cs="Times New Roman"/>
          <w:kern w:val="0"/>
          <w:lang w:val="tr-TR"/>
          <w14:ligatures w14:val="none"/>
        </w:rPr>
        <w:t xml:space="preserve"> etrafında kurulması;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verilerinin </w:t>
      </w:r>
      <w:r w:rsidRPr="00653373">
        <w:rPr>
          <w:rFonts w:ascii="Times New Roman" w:eastAsia="Times New Roman" w:hAnsi="Times New Roman" w:cs="Times New Roman"/>
          <w:b/>
          <w:bCs/>
          <w:kern w:val="0"/>
          <w:lang w:val="tr-TR"/>
          <w14:ligatures w14:val="none"/>
        </w:rPr>
        <w:t>belirleyici ispat değeri</w:t>
      </w:r>
      <w:r w:rsidRPr="00653373">
        <w:rPr>
          <w:rFonts w:ascii="Times New Roman" w:eastAsia="Times New Roman" w:hAnsi="Times New Roman" w:cs="Times New Roman"/>
          <w:kern w:val="0"/>
          <w:lang w:val="tr-TR"/>
          <w14:ligatures w14:val="none"/>
        </w:rPr>
        <w:t xml:space="preserve"> olarak kabul edilmesi ve mahkûmiyetlerin bu veri seti üzerine inşa edilmesi bulunmaktadır (Demirhan, §§ 14–16, 18–20).</w:t>
      </w:r>
    </w:p>
    <w:p w14:paraId="5EDF6105"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 xml:space="preserve">Ulusal yargı makamları, </w:t>
      </w:r>
      <w:proofErr w:type="spellStart"/>
      <w:r w:rsidRPr="00653373">
        <w:rPr>
          <w:rFonts w:ascii="Times New Roman" w:eastAsia="Times New Roman" w:hAnsi="Times New Roman" w:cs="Times New Roman"/>
          <w:kern w:val="0"/>
          <w:lang w:val="tr-TR"/>
          <w14:ligatures w14:val="none"/>
        </w:rPr>
        <w:t>ByLock’un</w:t>
      </w:r>
      <w:proofErr w:type="spellEnd"/>
      <w:r w:rsidRPr="00653373">
        <w:rPr>
          <w:rFonts w:ascii="Times New Roman" w:eastAsia="Times New Roman" w:hAnsi="Times New Roman" w:cs="Times New Roman"/>
          <w:kern w:val="0"/>
          <w:lang w:val="tr-TR"/>
          <w14:ligatures w14:val="none"/>
        </w:rPr>
        <w:t xml:space="preserve"> “münhasıran örgütsel amaçla kullanılan” bir uygulama olduğu varsayımından hareketle, salt kullanım tespitini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kapsamındaki örgüt üyeliği suçunun tüm unsurlarını karşılamaya yeterli saymış; bu yaklaşım, suçun maddi ve manevi unsurlarına ilişkin </w:t>
      </w:r>
      <w:r w:rsidRPr="00653373">
        <w:rPr>
          <w:rFonts w:ascii="Times New Roman" w:eastAsia="Times New Roman" w:hAnsi="Times New Roman" w:cs="Times New Roman"/>
          <w:b/>
          <w:bCs/>
          <w:kern w:val="0"/>
          <w:lang w:val="tr-TR"/>
          <w14:ligatures w14:val="none"/>
        </w:rPr>
        <w:t>bireyselleştirilmiş değerlendirmeyi</w:t>
      </w:r>
      <w:r w:rsidRPr="00653373">
        <w:rPr>
          <w:rFonts w:ascii="Times New Roman" w:eastAsia="Times New Roman" w:hAnsi="Times New Roman" w:cs="Times New Roman"/>
          <w:kern w:val="0"/>
          <w:lang w:val="tr-TR"/>
          <w14:ligatures w14:val="none"/>
        </w:rPr>
        <w:t xml:space="preserve"> otomatik bir çıkarımla ikame etmiştir (Demirhan, §§ 14–16; Yalçınkaya, §§ 257, 262–271).</w:t>
      </w:r>
    </w:p>
    <w:p w14:paraId="3A99EFFB"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Hükümetin “her dosya kendine özgüdür” yönündeki itirazlarına rağmen, belirleyici olanın dosyaların özgün ayrıntılarından ziyade, </w:t>
      </w:r>
      <w:proofErr w:type="spellStart"/>
      <w:r w:rsidRPr="00653373">
        <w:rPr>
          <w:rFonts w:ascii="Times New Roman" w:eastAsia="Times New Roman" w:hAnsi="Times New Roman" w:cs="Times New Roman"/>
          <w:kern w:val="0"/>
          <w:lang w:val="tr-TR"/>
          <w14:ligatures w14:val="none"/>
        </w:rPr>
        <w:t>ByLock’a</w:t>
      </w:r>
      <w:proofErr w:type="spellEnd"/>
      <w:r w:rsidRPr="00653373">
        <w:rPr>
          <w:rFonts w:ascii="Times New Roman" w:eastAsia="Times New Roman" w:hAnsi="Times New Roman" w:cs="Times New Roman"/>
          <w:kern w:val="0"/>
          <w:lang w:val="tr-TR"/>
          <w14:ligatures w14:val="none"/>
        </w:rPr>
        <w:t xml:space="preserve"> atfedilen </w:t>
      </w:r>
      <w:r w:rsidRPr="00653373">
        <w:rPr>
          <w:rFonts w:ascii="Times New Roman" w:eastAsia="Times New Roman" w:hAnsi="Times New Roman" w:cs="Times New Roman"/>
          <w:b/>
          <w:bCs/>
          <w:kern w:val="0"/>
          <w:lang w:val="tr-TR"/>
          <w14:ligatures w14:val="none"/>
        </w:rPr>
        <w:t>kategorik ispat değeri</w:t>
      </w:r>
      <w:r w:rsidRPr="00653373">
        <w:rPr>
          <w:rFonts w:ascii="Times New Roman" w:eastAsia="Times New Roman" w:hAnsi="Times New Roman" w:cs="Times New Roman"/>
          <w:kern w:val="0"/>
          <w:lang w:val="tr-TR"/>
          <w14:ligatures w14:val="none"/>
        </w:rPr>
        <w:t xml:space="preserve"> ve ulusal düzeyde benimsenen </w:t>
      </w:r>
      <w:r w:rsidRPr="00653373">
        <w:rPr>
          <w:rFonts w:ascii="Times New Roman" w:eastAsia="Times New Roman" w:hAnsi="Times New Roman" w:cs="Times New Roman"/>
          <w:b/>
          <w:bCs/>
          <w:kern w:val="0"/>
          <w:lang w:val="tr-TR"/>
          <w14:ligatures w14:val="none"/>
        </w:rPr>
        <w:t>tek tip yaklaşım</w:t>
      </w:r>
      <w:r w:rsidRPr="00653373">
        <w:rPr>
          <w:rFonts w:ascii="Times New Roman" w:eastAsia="Times New Roman" w:hAnsi="Times New Roman" w:cs="Times New Roman"/>
          <w:kern w:val="0"/>
          <w:lang w:val="tr-TR"/>
          <w14:ligatures w14:val="none"/>
        </w:rPr>
        <w:t xml:space="preserve"> olduğunu belirtmiş; bu nedenle Yalçınkaya içtihadındaki ilkeleri Demirhan başvurularına da aynen uygulamıştır (Demirhan, §§ 35–38).</w:t>
      </w:r>
    </w:p>
    <w:p w14:paraId="3E9850FE"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Bu çerçevede AİHM,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bakımından,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kullanımına kategorik ve “tek tip/küresel” ispat değeri verilmesinin, fiilen salt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kullanımının bilerek ve isteyerek örgüt üyeliğiyle </w:t>
      </w:r>
      <w:r w:rsidRPr="00653373">
        <w:rPr>
          <w:rFonts w:ascii="Times New Roman" w:eastAsia="Times New Roman" w:hAnsi="Times New Roman" w:cs="Times New Roman"/>
          <w:b/>
          <w:bCs/>
          <w:kern w:val="0"/>
          <w:lang w:val="tr-TR"/>
          <w14:ligatures w14:val="none"/>
        </w:rPr>
        <w:t>eşdeğer tutulmasına</w:t>
      </w:r>
      <w:r w:rsidRPr="00653373">
        <w:rPr>
          <w:rFonts w:ascii="Times New Roman" w:eastAsia="Times New Roman" w:hAnsi="Times New Roman" w:cs="Times New Roman"/>
          <w:kern w:val="0"/>
          <w:lang w:val="tr-TR"/>
          <w14:ligatures w14:val="none"/>
        </w:rPr>
        <w:t xml:space="preserve"> yol açtığını; bunun da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ilkeleriyle bağdaşmadığını yeniden teyit etmiştir (Demirhan, §§ 37–38; Yalçınkaya, §§ 262, 267, 414).</w:t>
      </w:r>
    </w:p>
    <w:p w14:paraId="7467EDD2"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bakımından ise AİHM; başvurucuların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verilerine </w:t>
      </w:r>
      <w:r w:rsidRPr="00653373">
        <w:rPr>
          <w:rFonts w:ascii="Times New Roman" w:eastAsia="Times New Roman" w:hAnsi="Times New Roman" w:cs="Times New Roman"/>
          <w:b/>
          <w:bCs/>
          <w:kern w:val="0"/>
          <w:lang w:val="tr-TR"/>
          <w14:ligatures w14:val="none"/>
        </w:rPr>
        <w:t>etkin biçimde erişemediğini</w:t>
      </w:r>
      <w:r w:rsidRPr="00653373">
        <w:rPr>
          <w:rFonts w:ascii="Times New Roman" w:eastAsia="Times New Roman" w:hAnsi="Times New Roman" w:cs="Times New Roman"/>
          <w:kern w:val="0"/>
          <w:lang w:val="tr-TR"/>
          <w14:ligatures w14:val="none"/>
        </w:rPr>
        <w:t xml:space="preserve">, bu verilere </w:t>
      </w:r>
      <w:r w:rsidRPr="00653373">
        <w:rPr>
          <w:rFonts w:ascii="Times New Roman" w:eastAsia="Times New Roman" w:hAnsi="Times New Roman" w:cs="Times New Roman"/>
          <w:b/>
          <w:bCs/>
          <w:kern w:val="0"/>
          <w:lang w:val="tr-TR"/>
          <w14:ligatures w14:val="none"/>
        </w:rPr>
        <w:t>etkili şekilde itiraz edemediğini</w:t>
      </w:r>
      <w:r w:rsidRPr="00653373">
        <w:rPr>
          <w:rFonts w:ascii="Times New Roman" w:eastAsia="Times New Roman" w:hAnsi="Times New Roman" w:cs="Times New Roman"/>
          <w:kern w:val="0"/>
          <w:lang w:val="tr-TR"/>
          <w14:ligatures w14:val="none"/>
        </w:rPr>
        <w:t xml:space="preserve">, ulusal mahkemelerin verilerin elde ediliş yöntemi, bütünlüğü ve delil değeri gibi kritik hususlarda </w:t>
      </w:r>
      <w:r w:rsidRPr="00653373">
        <w:rPr>
          <w:rFonts w:ascii="Times New Roman" w:eastAsia="Times New Roman" w:hAnsi="Times New Roman" w:cs="Times New Roman"/>
          <w:b/>
          <w:bCs/>
          <w:kern w:val="0"/>
          <w:lang w:val="tr-TR"/>
          <w14:ligatures w14:val="none"/>
        </w:rPr>
        <w:t>ilgili ve yeterli gerekçe sunmadığını</w:t>
      </w:r>
      <w:r w:rsidRPr="00653373">
        <w:rPr>
          <w:rFonts w:ascii="Times New Roman" w:eastAsia="Times New Roman" w:hAnsi="Times New Roman" w:cs="Times New Roman"/>
          <w:kern w:val="0"/>
          <w:lang w:val="tr-TR"/>
          <w14:ligatures w14:val="none"/>
        </w:rPr>
        <w:t>; yalnızca raporların dosyaya konulmasının savunma haklarını güvence altına almaya yetmediğini ve yargılamanın bütününün adil olmaktan çıktığını tespit etmiştir (Demirhan, §§ 42–45; Yalçınkaya, §§ 324–345, 353–355).</w:t>
      </w:r>
    </w:p>
    <w:p w14:paraId="06A680BA" w14:textId="12D68E31"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Somut dos</w:t>
      </w:r>
      <w:r w:rsidR="00C10752">
        <w:rPr>
          <w:rFonts w:ascii="Times New Roman" w:eastAsia="Times New Roman" w:hAnsi="Times New Roman" w:cs="Times New Roman"/>
          <w:kern w:val="0"/>
          <w:lang w:val="tr-TR"/>
          <w14:ligatures w14:val="none"/>
        </w:rPr>
        <w:t>ya</w:t>
      </w:r>
      <w:r w:rsidRPr="00653373">
        <w:rPr>
          <w:rFonts w:ascii="Times New Roman" w:eastAsia="Times New Roman" w:hAnsi="Times New Roman" w:cs="Times New Roman"/>
          <w:kern w:val="0"/>
          <w:lang w:val="tr-TR"/>
          <w14:ligatures w14:val="none"/>
        </w:rPr>
        <w:t xml:space="preserve">da mahkûmiyet hükmü, yukarıda özetlenen ve AİHM tarafından ihlal olarak nitelendirilen aynı yaklaşım ve delil rejimine dayandığından;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yargılamanın yenilenmesi yoluyla ihlalin giderilmesi zorunludur.</w:t>
      </w:r>
    </w:p>
    <w:p w14:paraId="3CA524A8"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IV. DEMİRHAN VE DİĞERLERİ/TÜRKİYE KARARINDA ÖNE ÇIKAN İHLAL GEREKÇELERİ</w:t>
      </w:r>
    </w:p>
    <w:p w14:paraId="267C06A4"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A. AİHS m.7 (Kanunsuz Ceza Olmaz) Yönünden İhlal Gerekçeleri</w:t>
      </w:r>
    </w:p>
    <w:p w14:paraId="7F179199" w14:textId="77777777" w:rsidR="00653373" w:rsidRPr="00653373" w:rsidRDefault="00653373" w:rsidP="008708C0">
      <w:pPr>
        <w:numPr>
          <w:ilvl w:val="0"/>
          <w:numId w:val="8"/>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Yalçınkaya kararında olduğu gibi Demirhan kararında </w:t>
      </w:r>
      <w:proofErr w:type="gramStart"/>
      <w:r w:rsidRPr="00653373">
        <w:rPr>
          <w:rFonts w:ascii="Times New Roman" w:eastAsia="Times New Roman" w:hAnsi="Times New Roman" w:cs="Times New Roman"/>
          <w:kern w:val="0"/>
          <w:lang w:val="tr-TR"/>
          <w14:ligatures w14:val="none"/>
        </w:rPr>
        <w:t>da;</w:t>
      </w:r>
      <w:proofErr w:type="gramEnd"/>
      <w:r w:rsidRPr="00653373">
        <w:rPr>
          <w:rFonts w:ascii="Times New Roman" w:eastAsia="Times New Roman" w:hAnsi="Times New Roman" w:cs="Times New Roman"/>
          <w:kern w:val="0"/>
          <w:lang w:val="tr-TR"/>
          <w14:ligatures w14:val="none"/>
        </w:rPr>
        <w:t xml:space="preserve"> ulusal mahkemelerin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’yi </w:t>
      </w:r>
      <w:proofErr w:type="spellStart"/>
      <w:r w:rsidRPr="00653373">
        <w:rPr>
          <w:rFonts w:ascii="Times New Roman" w:eastAsia="Times New Roman" w:hAnsi="Times New Roman" w:cs="Times New Roman"/>
          <w:kern w:val="0"/>
          <w:lang w:val="tr-TR"/>
          <w14:ligatures w14:val="none"/>
        </w:rPr>
        <w:t>ByLock’un</w:t>
      </w:r>
      <w:proofErr w:type="spellEnd"/>
      <w:r w:rsidRPr="00653373">
        <w:rPr>
          <w:rFonts w:ascii="Times New Roman" w:eastAsia="Times New Roman" w:hAnsi="Times New Roman" w:cs="Times New Roman"/>
          <w:kern w:val="0"/>
          <w:lang w:val="tr-TR"/>
          <w14:ligatures w14:val="none"/>
        </w:rPr>
        <w:t xml:space="preserve"> sırf kullanılmış olmasını, kişinin bilerek ve isteyerek örgüte dahil olduğunun göstergesi sayacak şekilde </w:t>
      </w:r>
      <w:r w:rsidRPr="00653373">
        <w:rPr>
          <w:rFonts w:ascii="Times New Roman" w:eastAsia="Times New Roman" w:hAnsi="Times New Roman" w:cs="Times New Roman"/>
          <w:b/>
          <w:bCs/>
          <w:kern w:val="0"/>
          <w:lang w:val="tr-TR"/>
          <w14:ligatures w14:val="none"/>
        </w:rPr>
        <w:t>geniş ve öngörülemez</w:t>
      </w:r>
      <w:r w:rsidRPr="00653373">
        <w:rPr>
          <w:rFonts w:ascii="Times New Roman" w:eastAsia="Times New Roman" w:hAnsi="Times New Roman" w:cs="Times New Roman"/>
          <w:kern w:val="0"/>
          <w:lang w:val="tr-TR"/>
          <w14:ligatures w14:val="none"/>
        </w:rPr>
        <w:t xml:space="preserve"> biçimde yorumlamasının, suçun maddi ve manevi unsurları bakımından kişiye özgü değerlendirmeyi ortadan kaldırdığını belirtmiştir. Bu tür bir yorumun,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ilkeleriyle bağdaşmadığı vurgulanmıştır (Yalçınkaya, §§ 267–272; Demirhan, § 46).</w:t>
      </w:r>
    </w:p>
    <w:p w14:paraId="46399A7C" w14:textId="77777777" w:rsidR="00653373" w:rsidRPr="00653373" w:rsidRDefault="00653373" w:rsidP="008708C0">
      <w:pPr>
        <w:numPr>
          <w:ilvl w:val="0"/>
          <w:numId w:val="8"/>
        </w:numPr>
        <w:spacing w:before="100" w:beforeAutospacing="1" w:after="100" w:afterAutospacing="1"/>
        <w:jc w:val="both"/>
        <w:rPr>
          <w:rFonts w:ascii="Times New Roman" w:eastAsia="Times New Roman" w:hAnsi="Times New Roman" w:cs="Times New Roman"/>
          <w:kern w:val="0"/>
          <w:lang w:val="tr-TR"/>
          <w14:ligatures w14:val="none"/>
        </w:rPr>
      </w:pPr>
      <w:proofErr w:type="spellStart"/>
      <w:r w:rsidRPr="00653373">
        <w:rPr>
          <w:rFonts w:ascii="Times New Roman" w:eastAsia="Times New Roman" w:hAnsi="Times New Roman" w:cs="Times New Roman"/>
          <w:kern w:val="0"/>
          <w:lang w:val="tr-TR"/>
          <w14:ligatures w14:val="none"/>
        </w:rPr>
        <w:t>AİHM’in</w:t>
      </w:r>
      <w:proofErr w:type="spellEnd"/>
      <w:r w:rsidRPr="00653373">
        <w:rPr>
          <w:rFonts w:ascii="Times New Roman" w:eastAsia="Times New Roman" w:hAnsi="Times New Roman" w:cs="Times New Roman"/>
          <w:kern w:val="0"/>
          <w:lang w:val="tr-TR"/>
          <w14:ligatures w14:val="none"/>
        </w:rPr>
        <w:t xml:space="preserve"> m.7 ihlali tespiti, mahkûmiyetin “öngörülemez ve aşırı genişletici” bir kanun yorumuna dayanmasından kaynaklanmaktadır. İhlal, öz itibarıyla üç başlıkta toplanmaktadır:</w:t>
      </w:r>
    </w:p>
    <w:p w14:paraId="2AE86349"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 </w:t>
      </w:r>
      <w:r w:rsidRPr="00653373">
        <w:rPr>
          <w:rFonts w:ascii="Times New Roman" w:eastAsia="Times New Roman" w:hAnsi="Times New Roman" w:cs="Times New Roman"/>
          <w:b/>
          <w:bCs/>
          <w:kern w:val="0"/>
          <w:lang w:val="tr-TR"/>
          <w14:ligatures w14:val="none"/>
        </w:rPr>
        <w:t>Öngörülemez yorum:</w:t>
      </w:r>
      <w:r w:rsidRPr="00653373">
        <w:rPr>
          <w:rFonts w:ascii="Times New Roman" w:eastAsia="Times New Roman" w:hAnsi="Times New Roman" w:cs="Times New Roman"/>
          <w:kern w:val="0"/>
          <w:lang w:val="tr-TR"/>
          <w14:ligatures w14:val="none"/>
        </w:rPr>
        <w:t xml:space="preserve"> Eylem tarihinde, salt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kullanımıyla TCK m.314/2’nin tüm unsurlarının oluştuğu sonucunun, makul bir kişi bakımından öngörülebilir olmadığı;</w:t>
      </w:r>
    </w:p>
    <w:p w14:paraId="3035B200"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 xml:space="preserve">b) </w:t>
      </w:r>
      <w:r w:rsidRPr="00653373">
        <w:rPr>
          <w:rFonts w:ascii="Times New Roman" w:eastAsia="Times New Roman" w:hAnsi="Times New Roman" w:cs="Times New Roman"/>
          <w:b/>
          <w:bCs/>
          <w:kern w:val="0"/>
          <w:lang w:val="tr-TR"/>
          <w14:ligatures w14:val="none"/>
        </w:rPr>
        <w:t>Manevi unsurun otomatik varsayımla ikame edilmesi:</w:t>
      </w:r>
      <w:r w:rsidRPr="00653373">
        <w:rPr>
          <w:rFonts w:ascii="Times New Roman" w:eastAsia="Times New Roman" w:hAnsi="Times New Roman" w:cs="Times New Roman"/>
          <w:kern w:val="0"/>
          <w:lang w:val="tr-TR"/>
          <w14:ligatures w14:val="none"/>
        </w:rPr>
        <w:t xml:space="preserve"> “Bilerek ve isteyerek örgüte dahil olma” iradesinin her sanık bakımından ayrıca araştırılmayıp,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kullanımından otomatik şekilde türetilmesi suretiyle bireysel cezai sorumluluk ilkesinin zedelenmesi;</w:t>
      </w:r>
    </w:p>
    <w:p w14:paraId="16FA729C"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c) </w:t>
      </w:r>
      <w:r w:rsidRPr="00653373">
        <w:rPr>
          <w:rFonts w:ascii="Times New Roman" w:eastAsia="Times New Roman" w:hAnsi="Times New Roman" w:cs="Times New Roman"/>
          <w:b/>
          <w:bCs/>
          <w:kern w:val="0"/>
          <w:lang w:val="tr-TR"/>
          <w14:ligatures w14:val="none"/>
        </w:rPr>
        <w:t>Kategorik/tek tip yaklaşım:</w:t>
      </w:r>
      <w:r w:rsidRPr="00653373">
        <w:rPr>
          <w:rFonts w:ascii="Times New Roman" w:eastAsia="Times New Roman" w:hAnsi="Times New Roman" w:cs="Times New Roman"/>
          <w:kern w:val="0"/>
          <w:lang w:val="tr-TR"/>
          <w14:ligatures w14:val="none"/>
        </w:rPr>
        <w:t xml:space="preserve">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deliline mutlak ve belirleyici ispat değeri atfedilerek, her davanın kendi koşulları içinde değerlendirilmesi yükümlülüğünün ortadan kaldırılması.</w:t>
      </w:r>
    </w:p>
    <w:p w14:paraId="210B7E86" w14:textId="12AD935E" w:rsidR="00653373" w:rsidRPr="00653373" w:rsidRDefault="00653373" w:rsidP="008708C0">
      <w:pPr>
        <w:numPr>
          <w:ilvl w:val="0"/>
          <w:numId w:val="9"/>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AİHM’ye göre, bu yaklaşım ulusal yargılama pratiğinde “salt kullanım” üzerinden otomatik mahkûmiyete yol açmakta; böylece m.7’nin koruduğu </w:t>
      </w:r>
      <w:r w:rsidRPr="00653373">
        <w:rPr>
          <w:rFonts w:ascii="Times New Roman" w:eastAsia="Times New Roman" w:hAnsi="Times New Roman" w:cs="Times New Roman"/>
          <w:b/>
          <w:bCs/>
          <w:kern w:val="0"/>
          <w:lang w:val="tr-TR"/>
          <w14:ligatures w14:val="none"/>
        </w:rPr>
        <w:t>hukuki güvenlik</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öngörülebilirlik</w:t>
      </w:r>
      <w:r w:rsidRPr="00653373">
        <w:rPr>
          <w:rFonts w:ascii="Times New Roman" w:eastAsia="Times New Roman" w:hAnsi="Times New Roman" w:cs="Times New Roman"/>
          <w:kern w:val="0"/>
          <w:lang w:val="tr-TR"/>
          <w14:ligatures w14:val="none"/>
        </w:rPr>
        <w:t xml:space="preserve"> standardı fiilen </w:t>
      </w:r>
      <w:r w:rsidR="001A60BE">
        <w:rPr>
          <w:rFonts w:ascii="Times New Roman" w:eastAsia="Times New Roman" w:hAnsi="Times New Roman" w:cs="Times New Roman"/>
          <w:kern w:val="0"/>
          <w:lang w:val="tr-TR"/>
          <w14:ligatures w14:val="none"/>
        </w:rPr>
        <w:t>ortadan kaldırıl</w:t>
      </w:r>
      <w:r w:rsidRPr="00653373">
        <w:rPr>
          <w:rFonts w:ascii="Times New Roman" w:eastAsia="Times New Roman" w:hAnsi="Times New Roman" w:cs="Times New Roman"/>
          <w:kern w:val="0"/>
          <w:lang w:val="tr-TR"/>
          <w14:ligatures w14:val="none"/>
        </w:rPr>
        <w:t>maktadır (Yalçınkaya, §§ 262, 267; Demirhan, §§ 37–38).</w:t>
      </w:r>
    </w:p>
    <w:p w14:paraId="5101A8D4"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B. AİHS m.6/1 (Adil Yargılanma Hakkı) Yönünden İhlal Gerekçeleri</w:t>
      </w:r>
    </w:p>
    <w:p w14:paraId="47B6B82A"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başvurucuların yargılamalarda belirleyici kabul edilen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verilerine </w:t>
      </w:r>
      <w:r w:rsidRPr="00653373">
        <w:rPr>
          <w:rFonts w:ascii="Times New Roman" w:eastAsia="Times New Roman" w:hAnsi="Times New Roman" w:cs="Times New Roman"/>
          <w:b/>
          <w:bCs/>
          <w:kern w:val="0"/>
          <w:lang w:val="tr-TR"/>
          <w14:ligatures w14:val="none"/>
        </w:rPr>
        <w:t>etkin biçimde erişemediğini</w:t>
      </w:r>
      <w:r w:rsidRPr="00653373">
        <w:rPr>
          <w:rFonts w:ascii="Times New Roman" w:eastAsia="Times New Roman" w:hAnsi="Times New Roman" w:cs="Times New Roman"/>
          <w:kern w:val="0"/>
          <w:lang w:val="tr-TR"/>
          <w14:ligatures w14:val="none"/>
        </w:rPr>
        <w:t xml:space="preserve"> ve bu verilerin elde edilişi, bütünlüğü, kapsamı ve delil değeri hakkında </w:t>
      </w:r>
      <w:r w:rsidRPr="00653373">
        <w:rPr>
          <w:rFonts w:ascii="Times New Roman" w:eastAsia="Times New Roman" w:hAnsi="Times New Roman" w:cs="Times New Roman"/>
          <w:b/>
          <w:bCs/>
          <w:kern w:val="0"/>
          <w:lang w:val="tr-TR"/>
          <w14:ligatures w14:val="none"/>
        </w:rPr>
        <w:t>etkili şekilde itiraz</w:t>
      </w:r>
      <w:r w:rsidRPr="00653373">
        <w:rPr>
          <w:rFonts w:ascii="Times New Roman" w:eastAsia="Times New Roman" w:hAnsi="Times New Roman" w:cs="Times New Roman"/>
          <w:kern w:val="0"/>
          <w:lang w:val="tr-TR"/>
          <w14:ligatures w14:val="none"/>
        </w:rPr>
        <w:t xml:space="preserve"> imkânına sahip olmadığını tespit etmiştir. Ulusal mahkemeler, davanın özünü ilgilendiren bu kritik noktalarda </w:t>
      </w:r>
      <w:r w:rsidRPr="00653373">
        <w:rPr>
          <w:rFonts w:ascii="Times New Roman" w:eastAsia="Times New Roman" w:hAnsi="Times New Roman" w:cs="Times New Roman"/>
          <w:b/>
          <w:bCs/>
          <w:kern w:val="0"/>
          <w:lang w:val="tr-TR"/>
          <w14:ligatures w14:val="none"/>
        </w:rPr>
        <w:t>ilgili ve yeterli gerekçe</w:t>
      </w:r>
      <w:r w:rsidRPr="00653373">
        <w:rPr>
          <w:rFonts w:ascii="Times New Roman" w:eastAsia="Times New Roman" w:hAnsi="Times New Roman" w:cs="Times New Roman"/>
          <w:kern w:val="0"/>
          <w:lang w:val="tr-TR"/>
          <w14:ligatures w14:val="none"/>
        </w:rPr>
        <w:t xml:space="preserve"> sunmamış; savunmanın iddia makamıyla eşit koşullarda tartışma yürütebilmesi için gerekli </w:t>
      </w:r>
      <w:proofErr w:type="spellStart"/>
      <w:r w:rsidRPr="00653373">
        <w:rPr>
          <w:rFonts w:ascii="Times New Roman" w:eastAsia="Times New Roman" w:hAnsi="Times New Roman" w:cs="Times New Roman"/>
          <w:kern w:val="0"/>
          <w:lang w:val="tr-TR"/>
          <w14:ligatures w14:val="none"/>
        </w:rPr>
        <w:t>usuli</w:t>
      </w:r>
      <w:proofErr w:type="spellEnd"/>
      <w:r w:rsidRPr="00653373">
        <w:rPr>
          <w:rFonts w:ascii="Times New Roman" w:eastAsia="Times New Roman" w:hAnsi="Times New Roman" w:cs="Times New Roman"/>
          <w:kern w:val="0"/>
          <w:lang w:val="tr-TR"/>
          <w14:ligatures w14:val="none"/>
        </w:rPr>
        <w:t xml:space="preserve"> güvenceleri sağlamamıştır (Demirhan, §§ 42–44; Yalçınkaya, §§ 324–341, 345).</w:t>
      </w:r>
    </w:p>
    <w:p w14:paraId="47C3F35B"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w:t>
      </w:r>
      <w:proofErr w:type="spellStart"/>
      <w:r w:rsidRPr="00653373">
        <w:rPr>
          <w:rFonts w:ascii="Times New Roman" w:eastAsia="Times New Roman" w:hAnsi="Times New Roman" w:cs="Times New Roman"/>
          <w:kern w:val="0"/>
          <w:lang w:val="tr-TR"/>
          <w14:ligatures w14:val="none"/>
        </w:rPr>
        <w:t>ByLock’a</w:t>
      </w:r>
      <w:proofErr w:type="spellEnd"/>
      <w:r w:rsidRPr="00653373">
        <w:rPr>
          <w:rFonts w:ascii="Times New Roman" w:eastAsia="Times New Roman" w:hAnsi="Times New Roman" w:cs="Times New Roman"/>
          <w:kern w:val="0"/>
          <w:lang w:val="tr-TR"/>
          <w14:ligatures w14:val="none"/>
        </w:rPr>
        <w:t xml:space="preserve"> ulusal düzeyde atfedilen kategorik yaklaşımın yargılamaların usul çerçevesini fiilen belirlediğini; kişiye özgü değerlendirme gerektiren temel meselelerin ya hiç ele alınmadığını ya da </w:t>
      </w:r>
      <w:proofErr w:type="spellStart"/>
      <w:r w:rsidRPr="00653373">
        <w:rPr>
          <w:rFonts w:ascii="Times New Roman" w:eastAsia="Times New Roman" w:hAnsi="Times New Roman" w:cs="Times New Roman"/>
          <w:kern w:val="0"/>
          <w:lang w:val="tr-TR"/>
          <w14:ligatures w14:val="none"/>
        </w:rPr>
        <w:t>şablonik</w:t>
      </w:r>
      <w:proofErr w:type="spellEnd"/>
      <w:r w:rsidRPr="00653373">
        <w:rPr>
          <w:rFonts w:ascii="Times New Roman" w:eastAsia="Times New Roman" w:hAnsi="Times New Roman" w:cs="Times New Roman"/>
          <w:kern w:val="0"/>
          <w:lang w:val="tr-TR"/>
          <w14:ligatures w14:val="none"/>
        </w:rPr>
        <w:t xml:space="preserve"> kabuller karşısında etkisiz kaldığını belirtmiştir. Yalnızca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raporlarının dosyaya konulması, savunma haklarının gerektiği gibi gözetildiğini göstermeye yetmemiş; “otomatik cezalandırma” endişeleri giderilememiştir (Demirhan, §§ 43–45; Yalçınkaya, § 345).</w:t>
      </w:r>
    </w:p>
    <w:p w14:paraId="435BCA91"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Bu nedenle AİHM, yargılamanın bütününün adil olmaktan çıktığına hükmetmiş; ayrıca olağanüstü koşulların bu sınırlamaları AİHS m.15 bakımından “kesinlikle gerekli” kılmadığını da vurgulamıştır (Demirhan, §§ 42–45; Yalçınkaya, §§ 353–355).</w:t>
      </w:r>
    </w:p>
    <w:p w14:paraId="7596FABA" w14:textId="1F617D6B"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Somut dosyam bakımından da mahkûmiyet hükmü, AİHM’nin ihlal olarak değerlendirdiği aynı delil rejimi ve otomatik çıkarım mekanizmasına dayandığından; ihlalin giderilmesi, ancak yargılamanın yenilenmesi ve savunma haklarının tam olarak işletildiği yeni bir yargılama ile mümkündür.</w:t>
      </w:r>
    </w:p>
    <w:p w14:paraId="3C1DA124"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 TALEPLER</w:t>
      </w:r>
    </w:p>
    <w:p w14:paraId="57BBA763"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A. Yargılamanın Yenilenmesi ve İnfazın Durdurulmasına İlişkin Talepler</w:t>
      </w:r>
    </w:p>
    <w:p w14:paraId="55115B7A" w14:textId="77777777" w:rsidR="00653373" w:rsidRPr="00653373" w:rsidRDefault="00653373" w:rsidP="008708C0">
      <w:pPr>
        <w:numPr>
          <w:ilvl w:val="0"/>
          <w:numId w:val="1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AİHM’nin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kararının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kesinleşmiş olması ve mahkûmiyet hükmünün, AİHM tarafından ihlal olarak tespit edilen usul ve yorumlara dayanması nedeniyle;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 xml:space="preserve"> karar verilmesini,</w:t>
      </w:r>
    </w:p>
    <w:p w14:paraId="15EF4159" w14:textId="77777777" w:rsidR="00653373" w:rsidRPr="00653373" w:rsidRDefault="00653373" w:rsidP="008708C0">
      <w:pPr>
        <w:numPr>
          <w:ilvl w:val="0"/>
          <w:numId w:val="1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İhlalin mahkûmiyetin esasına ilişkin olması ve yeniden yargılama yapılmadan giderilmesinin mümkün bulunmaması karşısında;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 sonuçlanıncaya kadar infazın durdurulmasına</w:t>
      </w:r>
      <w:r w:rsidRPr="00653373">
        <w:rPr>
          <w:rFonts w:ascii="Times New Roman" w:eastAsia="Times New Roman" w:hAnsi="Times New Roman" w:cs="Times New Roman"/>
          <w:kern w:val="0"/>
          <w:lang w:val="tr-TR"/>
          <w14:ligatures w14:val="none"/>
        </w:rPr>
        <w:t xml:space="preserve"> ve bu kapsamda </w:t>
      </w:r>
      <w:r w:rsidRPr="00653373">
        <w:rPr>
          <w:rFonts w:ascii="Times New Roman" w:eastAsia="Times New Roman" w:hAnsi="Times New Roman" w:cs="Times New Roman"/>
          <w:b/>
          <w:bCs/>
          <w:kern w:val="0"/>
          <w:lang w:val="tr-TR"/>
          <w14:ligatures w14:val="none"/>
        </w:rPr>
        <w:t>tahliyeme</w:t>
      </w:r>
      <w:r w:rsidRPr="00653373">
        <w:rPr>
          <w:rFonts w:ascii="Times New Roman" w:eastAsia="Times New Roman" w:hAnsi="Times New Roman" w:cs="Times New Roman"/>
          <w:kern w:val="0"/>
          <w:lang w:val="tr-TR"/>
          <w14:ligatures w14:val="none"/>
        </w:rPr>
        <w:t xml:space="preserve"> karar verilmesini,</w:t>
      </w:r>
    </w:p>
    <w:p w14:paraId="16AAA7A3" w14:textId="361E376E" w:rsidR="00653373" w:rsidRPr="00653373" w:rsidRDefault="00653373" w:rsidP="008708C0">
      <w:pPr>
        <w:numPr>
          <w:ilvl w:val="0"/>
          <w:numId w:val="1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 xml:space="preserve">Yeniden yargılamanın, AİHM içtihadında ortaya konulan ilke ve güvencelere uygun biçimde, savunma haklarının tam olarak işletildiği </w:t>
      </w:r>
      <w:r w:rsidRPr="00653373">
        <w:rPr>
          <w:rFonts w:ascii="Times New Roman" w:eastAsia="Times New Roman" w:hAnsi="Times New Roman" w:cs="Times New Roman"/>
          <w:b/>
          <w:bCs/>
          <w:kern w:val="0"/>
          <w:lang w:val="tr-TR"/>
          <w14:ligatures w14:val="none"/>
        </w:rPr>
        <w:t>çelişmeli bir yargılama</w:t>
      </w:r>
      <w:r w:rsidRPr="00653373">
        <w:rPr>
          <w:rFonts w:ascii="Times New Roman" w:eastAsia="Times New Roman" w:hAnsi="Times New Roman" w:cs="Times New Roman"/>
          <w:kern w:val="0"/>
          <w:lang w:val="tr-TR"/>
          <w14:ligatures w14:val="none"/>
        </w:rPr>
        <w:t xml:space="preserve"> yapılmasını,</w:t>
      </w:r>
    </w:p>
    <w:p w14:paraId="2BEDC373"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B. AİHS m.7 Kapsamındaki İhlalin Giderilmesine Yönelik Talepler</w:t>
      </w:r>
    </w:p>
    <w:p w14:paraId="5B6FE532"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İsnat edilen eylem tarihi itibarıyla, </w:t>
      </w:r>
      <w:r w:rsidRPr="00653373">
        <w:rPr>
          <w:rFonts w:ascii="Times New Roman" w:eastAsia="Times New Roman" w:hAnsi="Times New Roman" w:cs="Times New Roman"/>
          <w:b/>
          <w:bCs/>
          <w:kern w:val="0"/>
          <w:lang w:val="tr-TR"/>
          <w14:ligatures w14:val="none"/>
        </w:rPr>
        <w:t xml:space="preserve">salt </w:t>
      </w:r>
      <w:proofErr w:type="spellStart"/>
      <w:r w:rsidRPr="00653373">
        <w:rPr>
          <w:rFonts w:ascii="Times New Roman" w:eastAsia="Times New Roman" w:hAnsi="Times New Roman" w:cs="Times New Roman"/>
          <w:b/>
          <w:bCs/>
          <w:kern w:val="0"/>
          <w:lang w:val="tr-TR"/>
          <w14:ligatures w14:val="none"/>
        </w:rPr>
        <w:t>ByLock</w:t>
      </w:r>
      <w:proofErr w:type="spellEnd"/>
      <w:r w:rsidRPr="00653373">
        <w:rPr>
          <w:rFonts w:ascii="Times New Roman" w:eastAsia="Times New Roman" w:hAnsi="Times New Roman" w:cs="Times New Roman"/>
          <w:b/>
          <w:bCs/>
          <w:kern w:val="0"/>
          <w:lang w:val="tr-TR"/>
          <w14:ligatures w14:val="none"/>
        </w:rPr>
        <w:t xml:space="preserve"> kullanımının</w:t>
      </w:r>
      <w:r w:rsidRPr="00653373">
        <w:rPr>
          <w:rFonts w:ascii="Times New Roman" w:eastAsia="Times New Roman" w:hAnsi="Times New Roman" w:cs="Times New Roman"/>
          <w:kern w:val="0"/>
          <w:lang w:val="tr-TR"/>
          <w14:ligatures w14:val="none"/>
        </w:rPr>
        <w:t xml:space="preserve"> TCK m.314/2 kapsamında mahkûmiyete esas alınmasının </w:t>
      </w:r>
      <w:r w:rsidRPr="00653373">
        <w:rPr>
          <w:rFonts w:ascii="Times New Roman" w:eastAsia="Times New Roman" w:hAnsi="Times New Roman" w:cs="Times New Roman"/>
          <w:b/>
          <w:bCs/>
          <w:kern w:val="0"/>
          <w:lang w:val="tr-TR"/>
          <w14:ligatures w14:val="none"/>
        </w:rPr>
        <w:t>öngörülebilir olup olmadığının</w:t>
      </w:r>
      <w:r w:rsidRPr="00653373">
        <w:rPr>
          <w:rFonts w:ascii="Times New Roman" w:eastAsia="Times New Roman" w:hAnsi="Times New Roman" w:cs="Times New Roman"/>
          <w:kern w:val="0"/>
          <w:lang w:val="tr-TR"/>
          <w14:ligatures w14:val="none"/>
        </w:rPr>
        <w:t xml:space="preserve">; eylem tarihindeki kanun metinleri, resmî kaynaklar ve </w:t>
      </w:r>
      <w:r w:rsidRPr="00653373">
        <w:rPr>
          <w:rFonts w:ascii="Times New Roman" w:eastAsia="Times New Roman" w:hAnsi="Times New Roman" w:cs="Times New Roman"/>
          <w:b/>
          <w:bCs/>
          <w:kern w:val="0"/>
          <w:lang w:val="tr-TR"/>
          <w14:ligatures w14:val="none"/>
        </w:rPr>
        <w:t>2017 öncesi içtihat</w:t>
      </w:r>
      <w:r w:rsidRPr="00653373">
        <w:rPr>
          <w:rFonts w:ascii="Times New Roman" w:eastAsia="Times New Roman" w:hAnsi="Times New Roman" w:cs="Times New Roman"/>
          <w:kern w:val="0"/>
          <w:lang w:val="tr-TR"/>
          <w14:ligatures w14:val="none"/>
        </w:rPr>
        <w:t xml:space="preserve"> esas alınarak değerlendirilmesini (Yalçınkaya, §§ 267–272; Demirhan, §§ 37–41),</w:t>
      </w:r>
    </w:p>
    <w:p w14:paraId="6EB8A7DF" w14:textId="72FA1646"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Örgüt üyeliğinin zorunlu unsurları olan </w:t>
      </w:r>
      <w:r w:rsidRPr="00653373">
        <w:rPr>
          <w:rFonts w:ascii="Times New Roman" w:eastAsia="Times New Roman" w:hAnsi="Times New Roman" w:cs="Times New Roman"/>
          <w:b/>
          <w:bCs/>
          <w:kern w:val="0"/>
          <w:lang w:val="tr-TR"/>
          <w14:ligatures w14:val="none"/>
        </w:rPr>
        <w:t>süreklilik-çeşitlilik-yoğunluk</w:t>
      </w:r>
      <w:r w:rsidRPr="00653373">
        <w:rPr>
          <w:rFonts w:ascii="Times New Roman" w:eastAsia="Times New Roman" w:hAnsi="Times New Roman" w:cs="Times New Roman"/>
          <w:kern w:val="0"/>
          <w:lang w:val="tr-TR"/>
          <w14:ligatures w14:val="none"/>
        </w:rPr>
        <w:t>,</w:t>
      </w:r>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hiyerarşik/organik bağ</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örgütün cebir-şiddet içeren amaçlarına somut katkı</w:t>
      </w:r>
      <w:r w:rsidRPr="00653373">
        <w:rPr>
          <w:rFonts w:ascii="Times New Roman" w:eastAsia="Times New Roman" w:hAnsi="Times New Roman" w:cs="Times New Roman"/>
          <w:kern w:val="0"/>
          <w:lang w:val="tr-TR"/>
          <w14:ligatures w14:val="none"/>
        </w:rPr>
        <w:t xml:space="preserve"> unsurlarının, her biri bakımından </w:t>
      </w:r>
      <w:r w:rsidRPr="00653373">
        <w:rPr>
          <w:rFonts w:ascii="Times New Roman" w:eastAsia="Times New Roman" w:hAnsi="Times New Roman" w:cs="Times New Roman"/>
          <w:b/>
          <w:bCs/>
          <w:kern w:val="0"/>
          <w:lang w:val="tr-TR"/>
          <w14:ligatures w14:val="none"/>
        </w:rPr>
        <w:t>hangi somut delille</w:t>
      </w:r>
      <w:r w:rsidRPr="00653373">
        <w:rPr>
          <w:rFonts w:ascii="Times New Roman" w:eastAsia="Times New Roman" w:hAnsi="Times New Roman" w:cs="Times New Roman"/>
          <w:kern w:val="0"/>
          <w:lang w:val="tr-TR"/>
          <w14:ligatures w14:val="none"/>
        </w:rPr>
        <w:t xml:space="preserve"> ispatlandığının dosya delilleriyle ilişkilendirilerek </w:t>
      </w:r>
      <w:r w:rsidRPr="00653373">
        <w:rPr>
          <w:rFonts w:ascii="Times New Roman" w:eastAsia="Times New Roman" w:hAnsi="Times New Roman" w:cs="Times New Roman"/>
          <w:b/>
          <w:bCs/>
          <w:kern w:val="0"/>
          <w:lang w:val="tr-TR"/>
          <w14:ligatures w14:val="none"/>
        </w:rPr>
        <w:t>tek tek</w:t>
      </w:r>
      <w:r w:rsidRPr="00653373">
        <w:rPr>
          <w:rFonts w:ascii="Times New Roman" w:eastAsia="Times New Roman" w:hAnsi="Times New Roman" w:cs="Times New Roman"/>
          <w:kern w:val="0"/>
          <w:lang w:val="tr-TR"/>
          <w14:ligatures w14:val="none"/>
        </w:rPr>
        <w:t xml:space="preserve"> ortaya konulmasını; herhangi bir unsur yönünden eksiklik hâlinde </w:t>
      </w:r>
      <w:r w:rsidRPr="00653373">
        <w:rPr>
          <w:rFonts w:ascii="Times New Roman" w:eastAsia="Times New Roman" w:hAnsi="Times New Roman" w:cs="Times New Roman"/>
          <w:b/>
          <w:bCs/>
          <w:kern w:val="0"/>
          <w:lang w:val="tr-TR"/>
          <w14:ligatures w14:val="none"/>
        </w:rPr>
        <w:t>tipiklik yokluğu</w:t>
      </w:r>
      <w:r w:rsidRPr="00653373">
        <w:rPr>
          <w:rFonts w:ascii="Times New Roman" w:eastAsia="Times New Roman" w:hAnsi="Times New Roman" w:cs="Times New Roman"/>
          <w:kern w:val="0"/>
          <w:lang w:val="tr-TR"/>
          <w14:ligatures w14:val="none"/>
        </w:rPr>
        <w:t xml:space="preserve"> nedeniyle mahkûmiyet kurulamayacağının değerlendirilmesini,</w:t>
      </w:r>
    </w:p>
    <w:p w14:paraId="3D0D07C1"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Suçun </w:t>
      </w:r>
      <w:r w:rsidRPr="00653373">
        <w:rPr>
          <w:rFonts w:ascii="Times New Roman" w:eastAsia="Times New Roman" w:hAnsi="Times New Roman" w:cs="Times New Roman"/>
          <w:b/>
          <w:bCs/>
          <w:kern w:val="0"/>
          <w:lang w:val="tr-TR"/>
          <w14:ligatures w14:val="none"/>
        </w:rPr>
        <w:t>manevi unsuru (bilerek ve isteyerek/özel kast)</w:t>
      </w:r>
      <w:r w:rsidRPr="00653373">
        <w:rPr>
          <w:rFonts w:ascii="Times New Roman" w:eastAsia="Times New Roman" w:hAnsi="Times New Roman" w:cs="Times New Roman"/>
          <w:kern w:val="0"/>
          <w:lang w:val="tr-TR"/>
          <w14:ligatures w14:val="none"/>
        </w:rPr>
        <w:t xml:space="preserve"> bakımından, salt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kullanımına dayalı otomatik çıkarımlara itibar edilmeksizin; hukuka uygun elde edildiği şüpheye yer bırakmayan </w:t>
      </w:r>
      <w:r w:rsidRPr="00653373">
        <w:rPr>
          <w:rFonts w:ascii="Times New Roman" w:eastAsia="Times New Roman" w:hAnsi="Times New Roman" w:cs="Times New Roman"/>
          <w:b/>
          <w:bCs/>
          <w:kern w:val="0"/>
          <w:lang w:val="tr-TR"/>
          <w14:ligatures w14:val="none"/>
        </w:rPr>
        <w:t>somut içerik</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talimat</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görev paylaşımı</w:t>
      </w:r>
      <w:r w:rsidRPr="00653373">
        <w:rPr>
          <w:rFonts w:ascii="Times New Roman" w:eastAsia="Times New Roman" w:hAnsi="Times New Roman" w:cs="Times New Roman"/>
          <w:kern w:val="0"/>
          <w:lang w:val="tr-TR"/>
          <w14:ligatures w14:val="none"/>
        </w:rPr>
        <w:t xml:space="preserve"> veya </w:t>
      </w:r>
      <w:r w:rsidRPr="00653373">
        <w:rPr>
          <w:rFonts w:ascii="Times New Roman" w:eastAsia="Times New Roman" w:hAnsi="Times New Roman" w:cs="Times New Roman"/>
          <w:b/>
          <w:bCs/>
          <w:kern w:val="0"/>
          <w:lang w:val="tr-TR"/>
          <w14:ligatures w14:val="none"/>
        </w:rPr>
        <w:t>hiyerarşik bağ</w:t>
      </w:r>
      <w:r w:rsidRPr="00653373">
        <w:rPr>
          <w:rFonts w:ascii="Times New Roman" w:eastAsia="Times New Roman" w:hAnsi="Times New Roman" w:cs="Times New Roman"/>
          <w:kern w:val="0"/>
          <w:lang w:val="tr-TR"/>
          <w14:ligatures w14:val="none"/>
        </w:rPr>
        <w:t xml:space="preserve"> gibi delillerle ispatın aranmasını; manevi unsurun ortaya konulamaması hâlinde mahkûmiyet kurulmayacağının hükümde gösterilmesini,</w:t>
      </w:r>
    </w:p>
    <w:p w14:paraId="37EF46C3"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kullanımı = örgüt üyeliği” şeklindeki </w:t>
      </w:r>
      <w:r w:rsidRPr="00653373">
        <w:rPr>
          <w:rFonts w:ascii="Times New Roman" w:eastAsia="Times New Roman" w:hAnsi="Times New Roman" w:cs="Times New Roman"/>
          <w:b/>
          <w:bCs/>
          <w:kern w:val="0"/>
          <w:lang w:val="tr-TR"/>
          <w14:ligatures w14:val="none"/>
        </w:rPr>
        <w:t>otomatik ve kategorik kabulün</w:t>
      </w:r>
      <w:r w:rsidRPr="00653373">
        <w:rPr>
          <w:rFonts w:ascii="Times New Roman" w:eastAsia="Times New Roman" w:hAnsi="Times New Roman" w:cs="Times New Roman"/>
          <w:kern w:val="0"/>
          <w:lang w:val="tr-TR"/>
          <w14:ligatures w14:val="none"/>
        </w:rPr>
        <w:t xml:space="preserve"> açıkça reddedilmesini; içerik, muhatap ve bağlamsal verilerden yoksun </w:t>
      </w:r>
      <w:r w:rsidRPr="00653373">
        <w:rPr>
          <w:rFonts w:ascii="Times New Roman" w:eastAsia="Times New Roman" w:hAnsi="Times New Roman" w:cs="Times New Roman"/>
          <w:b/>
          <w:bCs/>
          <w:kern w:val="0"/>
          <w:lang w:val="tr-TR"/>
          <w14:ligatures w14:val="none"/>
        </w:rPr>
        <w:t>salt kullanım tespiti</w:t>
      </w:r>
      <w:r w:rsidRPr="00653373">
        <w:rPr>
          <w:rFonts w:ascii="Times New Roman" w:eastAsia="Times New Roman" w:hAnsi="Times New Roman" w:cs="Times New Roman"/>
          <w:kern w:val="0"/>
          <w:lang w:val="tr-TR"/>
          <w14:ligatures w14:val="none"/>
        </w:rPr>
        <w:t>nin belirleyici delil olarak kabul edilmemesini (Yalçınkaya, §§ 257, 267–268; Demirhan, § 37),</w:t>
      </w:r>
    </w:p>
    <w:p w14:paraId="717A83E6"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Hukuka uygun elde edildiği tereddütsüz biçimde ortaya konulamayan </w:t>
      </w:r>
      <w:r w:rsidRPr="00653373">
        <w:rPr>
          <w:rFonts w:ascii="Times New Roman" w:eastAsia="Times New Roman" w:hAnsi="Times New Roman" w:cs="Times New Roman"/>
          <w:b/>
          <w:bCs/>
          <w:kern w:val="0"/>
          <w:lang w:val="tr-TR"/>
          <w14:ligatures w14:val="none"/>
        </w:rPr>
        <w:t>mesaj içerikleri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kullanıcı ilişkileri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grup/kanal yapıları</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hiyerarşik bağ</w:t>
      </w:r>
      <w:r w:rsidRPr="00653373">
        <w:rPr>
          <w:rFonts w:ascii="Times New Roman" w:eastAsia="Times New Roman" w:hAnsi="Times New Roman" w:cs="Times New Roman"/>
          <w:kern w:val="0"/>
          <w:lang w:val="tr-TR"/>
          <w14:ligatures w14:val="none"/>
        </w:rPr>
        <w:t xml:space="preserve"> gibi bağlamsal deliller dosyaya getirilemiyorsa, bunun nedenlerinin açıklanmasını; bu veriler yoksa </w:t>
      </w:r>
      <w:r w:rsidRPr="00653373">
        <w:rPr>
          <w:rFonts w:ascii="Times New Roman" w:eastAsia="Times New Roman" w:hAnsi="Times New Roman" w:cs="Times New Roman"/>
          <w:b/>
          <w:bCs/>
          <w:kern w:val="0"/>
          <w:lang w:val="tr-TR"/>
          <w14:ligatures w14:val="none"/>
        </w:rPr>
        <w:t>salt kullanım tespiti</w:t>
      </w:r>
      <w:r w:rsidRPr="00653373">
        <w:rPr>
          <w:rFonts w:ascii="Times New Roman" w:eastAsia="Times New Roman" w:hAnsi="Times New Roman" w:cs="Times New Roman"/>
          <w:kern w:val="0"/>
          <w:lang w:val="tr-TR"/>
          <w14:ligatures w14:val="none"/>
        </w:rPr>
        <w:t>ne dayalı mahkûmiyet hükmü kurulmamasını,</w:t>
      </w:r>
    </w:p>
    <w:p w14:paraId="0422FF53"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proofErr w:type="spellStart"/>
      <w:r w:rsidRPr="00653373">
        <w:rPr>
          <w:rFonts w:ascii="Times New Roman" w:eastAsia="Times New Roman" w:hAnsi="Times New Roman" w:cs="Times New Roman"/>
          <w:kern w:val="0"/>
          <w:lang w:val="tr-TR"/>
          <w14:ligatures w14:val="none"/>
        </w:rPr>
        <w:t>ByLock’a</w:t>
      </w:r>
      <w:proofErr w:type="spellEnd"/>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tek tip/kategorik</w:t>
      </w:r>
      <w:r w:rsidRPr="00653373">
        <w:rPr>
          <w:rFonts w:ascii="Times New Roman" w:eastAsia="Times New Roman" w:hAnsi="Times New Roman" w:cs="Times New Roman"/>
          <w:kern w:val="0"/>
          <w:lang w:val="tr-TR"/>
          <w14:ligatures w14:val="none"/>
        </w:rPr>
        <w:t xml:space="preserve"> ispat değeri yükleyen yaklaşım yerine; dosyaya özgü </w:t>
      </w:r>
      <w:r w:rsidRPr="00653373">
        <w:rPr>
          <w:rFonts w:ascii="Times New Roman" w:eastAsia="Times New Roman" w:hAnsi="Times New Roman" w:cs="Times New Roman"/>
          <w:b/>
          <w:bCs/>
          <w:kern w:val="0"/>
          <w:lang w:val="tr-TR"/>
          <w14:ligatures w14:val="none"/>
        </w:rPr>
        <w:t>zamanlama</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kullanım yoğunluğu</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temas ağı</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atfedilen rol</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fiilî katkı</w:t>
      </w:r>
      <w:r w:rsidRPr="00653373">
        <w:rPr>
          <w:rFonts w:ascii="Times New Roman" w:eastAsia="Times New Roman" w:hAnsi="Times New Roman" w:cs="Times New Roman"/>
          <w:kern w:val="0"/>
          <w:lang w:val="tr-TR"/>
          <w14:ligatures w14:val="none"/>
        </w:rPr>
        <w:t xml:space="preserve"> iddialarının </w:t>
      </w:r>
      <w:r w:rsidRPr="00653373">
        <w:rPr>
          <w:rFonts w:ascii="Times New Roman" w:eastAsia="Times New Roman" w:hAnsi="Times New Roman" w:cs="Times New Roman"/>
          <w:b/>
          <w:bCs/>
          <w:kern w:val="0"/>
          <w:lang w:val="tr-TR"/>
          <w14:ligatures w14:val="none"/>
        </w:rPr>
        <w:t>kişiselleştirilmiş</w:t>
      </w:r>
      <w:r w:rsidRPr="00653373">
        <w:rPr>
          <w:rFonts w:ascii="Times New Roman" w:eastAsia="Times New Roman" w:hAnsi="Times New Roman" w:cs="Times New Roman"/>
          <w:kern w:val="0"/>
          <w:lang w:val="tr-TR"/>
          <w14:ligatures w14:val="none"/>
        </w:rPr>
        <w:t xml:space="preserve"> biçimde değerlendirilmesini (Yalçınkaya, §§ 271–272; Demirhan, §§ 37, 46–47),</w:t>
      </w:r>
    </w:p>
    <w:p w14:paraId="4DA9D4DD"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OHAL ve güvenlik gerekçelerinin,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güvencelerini zayıflatacak şekilde kullanılmamasını; aksine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standartlarına </w:t>
      </w:r>
      <w:r w:rsidRPr="00653373">
        <w:rPr>
          <w:rFonts w:ascii="Times New Roman" w:eastAsia="Times New Roman" w:hAnsi="Times New Roman" w:cs="Times New Roman"/>
          <w:b/>
          <w:bCs/>
          <w:kern w:val="0"/>
          <w:lang w:val="tr-TR"/>
          <w14:ligatures w14:val="none"/>
        </w:rPr>
        <w:t>katı biçimde</w:t>
      </w:r>
      <w:r w:rsidRPr="00653373">
        <w:rPr>
          <w:rFonts w:ascii="Times New Roman" w:eastAsia="Times New Roman" w:hAnsi="Times New Roman" w:cs="Times New Roman"/>
          <w:kern w:val="0"/>
          <w:lang w:val="tr-TR"/>
          <w14:ligatures w14:val="none"/>
        </w:rPr>
        <w:t xml:space="preserve"> riayet edilmesini (Yalçınkaya, § 270),</w:t>
      </w:r>
    </w:p>
    <w:p w14:paraId="07580798"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“Münhasırlık” iddiasının dayanaklarının zayıflığı gözetilerek, uygulamanın </w:t>
      </w:r>
      <w:r w:rsidRPr="00653373">
        <w:rPr>
          <w:rFonts w:ascii="Times New Roman" w:eastAsia="Times New Roman" w:hAnsi="Times New Roman" w:cs="Times New Roman"/>
          <w:b/>
          <w:bCs/>
          <w:kern w:val="0"/>
          <w:lang w:val="tr-TR"/>
          <w14:ligatures w14:val="none"/>
        </w:rPr>
        <w:t>halka açık mağazalarda</w:t>
      </w:r>
      <w:r w:rsidRPr="00653373">
        <w:rPr>
          <w:rFonts w:ascii="Times New Roman" w:eastAsia="Times New Roman" w:hAnsi="Times New Roman" w:cs="Times New Roman"/>
          <w:kern w:val="0"/>
          <w:lang w:val="tr-TR"/>
          <w14:ligatures w14:val="none"/>
        </w:rPr>
        <w:t xml:space="preserve"> uzun süre indirilebilir olmasının aleyhe otomatik çıkarıma dayanak yapılmamasını (Yalçınkaya, § 338; Demirhan, §§ 37–41),</w:t>
      </w:r>
    </w:p>
    <w:p w14:paraId="5727F582"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Bankacılık işlemleri, dernek/sendika üyelikleri, sohbet iddiaları gibi </w:t>
      </w:r>
      <w:r w:rsidRPr="00653373">
        <w:rPr>
          <w:rFonts w:ascii="Times New Roman" w:eastAsia="Times New Roman" w:hAnsi="Times New Roman" w:cs="Times New Roman"/>
          <w:b/>
          <w:bCs/>
          <w:kern w:val="0"/>
          <w:lang w:val="tr-TR"/>
          <w14:ligatures w14:val="none"/>
        </w:rPr>
        <w:t>temel hak kullanımı</w:t>
      </w:r>
      <w:r w:rsidRPr="00653373">
        <w:rPr>
          <w:rFonts w:ascii="Times New Roman" w:eastAsia="Times New Roman" w:hAnsi="Times New Roman" w:cs="Times New Roman"/>
          <w:kern w:val="0"/>
          <w:lang w:val="tr-TR"/>
          <w14:ligatures w14:val="none"/>
        </w:rPr>
        <w:t xml:space="preserve"> niteliğindeki tali olguların, </w:t>
      </w:r>
      <w:r w:rsidRPr="00653373">
        <w:rPr>
          <w:rFonts w:ascii="Times New Roman" w:eastAsia="Times New Roman" w:hAnsi="Times New Roman" w:cs="Times New Roman"/>
          <w:b/>
          <w:bCs/>
          <w:kern w:val="0"/>
          <w:lang w:val="tr-TR"/>
          <w14:ligatures w14:val="none"/>
        </w:rPr>
        <w:t>kişiselleştirilmiş somut gerekçe</w:t>
      </w:r>
      <w:r w:rsidRPr="00653373">
        <w:rPr>
          <w:rFonts w:ascii="Times New Roman" w:eastAsia="Times New Roman" w:hAnsi="Times New Roman" w:cs="Times New Roman"/>
          <w:kern w:val="0"/>
          <w:lang w:val="tr-TR"/>
          <w14:ligatures w14:val="none"/>
        </w:rPr>
        <w:t xml:space="preserve"> olmaksızın belirleyici ağırlıkla değerlendirilmemesini; </w:t>
      </w:r>
      <w:proofErr w:type="spellStart"/>
      <w:r w:rsidRPr="00653373">
        <w:rPr>
          <w:rFonts w:ascii="Times New Roman" w:eastAsia="Times New Roman" w:hAnsi="Times New Roman" w:cs="Times New Roman"/>
          <w:kern w:val="0"/>
          <w:lang w:val="tr-TR"/>
          <w14:ligatures w14:val="none"/>
        </w:rPr>
        <w:t>ByLock’tan</w:t>
      </w:r>
      <w:proofErr w:type="spellEnd"/>
      <w:r w:rsidRPr="00653373">
        <w:rPr>
          <w:rFonts w:ascii="Times New Roman" w:eastAsia="Times New Roman" w:hAnsi="Times New Roman" w:cs="Times New Roman"/>
          <w:kern w:val="0"/>
          <w:lang w:val="tr-TR"/>
          <w14:ligatures w14:val="none"/>
        </w:rPr>
        <w:t xml:space="preserve"> bağımsız olarak </w:t>
      </w:r>
      <w:r w:rsidRPr="00653373">
        <w:rPr>
          <w:rFonts w:ascii="Times New Roman" w:eastAsia="Times New Roman" w:hAnsi="Times New Roman" w:cs="Times New Roman"/>
          <w:b/>
          <w:bCs/>
          <w:kern w:val="0"/>
          <w:lang w:val="tr-TR"/>
          <w14:ligatures w14:val="none"/>
        </w:rPr>
        <w:t>tipiklik ve kast</w:t>
      </w:r>
      <w:r w:rsidRPr="00653373">
        <w:rPr>
          <w:rFonts w:ascii="Times New Roman" w:eastAsia="Times New Roman" w:hAnsi="Times New Roman" w:cs="Times New Roman"/>
          <w:kern w:val="0"/>
          <w:lang w:val="tr-TR"/>
          <w14:ligatures w14:val="none"/>
        </w:rPr>
        <w:t>ı ispat gücü bulunup bulunmadığının denetime elverişli biçimde gerekçelendirilmesini,</w:t>
      </w:r>
    </w:p>
    <w:p w14:paraId="33026B45" w14:textId="4279EDD9"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Aleyhe </w:t>
      </w:r>
      <w:r w:rsidRPr="00653373">
        <w:rPr>
          <w:rFonts w:ascii="Times New Roman" w:eastAsia="Times New Roman" w:hAnsi="Times New Roman" w:cs="Times New Roman"/>
          <w:b/>
          <w:bCs/>
          <w:kern w:val="0"/>
          <w:lang w:val="tr-TR"/>
          <w14:ligatures w14:val="none"/>
        </w:rPr>
        <w:t>geriye yürüme yasağı</w:t>
      </w:r>
      <w:r w:rsidRPr="00653373">
        <w:rPr>
          <w:rFonts w:ascii="Times New Roman" w:eastAsia="Times New Roman" w:hAnsi="Times New Roman" w:cs="Times New Roman"/>
          <w:kern w:val="0"/>
          <w:lang w:val="tr-TR"/>
          <w14:ligatures w14:val="none"/>
        </w:rPr>
        <w:t xml:space="preserve"> ilkesine riayet edilmesini; isnat edilen eylem tarihinden sonra oluşan veya değişen içtihatların </w:t>
      </w:r>
      <w:r w:rsidRPr="00653373">
        <w:rPr>
          <w:rFonts w:ascii="Times New Roman" w:eastAsia="Times New Roman" w:hAnsi="Times New Roman" w:cs="Times New Roman"/>
          <w:b/>
          <w:bCs/>
          <w:kern w:val="0"/>
          <w:lang w:val="tr-TR"/>
          <w14:ligatures w14:val="none"/>
        </w:rPr>
        <w:t>aleyhe</w:t>
      </w:r>
      <w:r w:rsidRPr="00653373">
        <w:rPr>
          <w:rFonts w:ascii="Times New Roman" w:eastAsia="Times New Roman" w:hAnsi="Times New Roman" w:cs="Times New Roman"/>
          <w:kern w:val="0"/>
          <w:lang w:val="tr-TR"/>
          <w14:ligatures w14:val="none"/>
        </w:rPr>
        <w:t xml:space="preserve"> uygulanmamasını (Yalçınkaya, § 238),</w:t>
      </w:r>
    </w:p>
    <w:p w14:paraId="7EDA173F"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Yukarıdaki değerlendirmeler sonucunda kanunilik ve öngörülebilirlik sağlanamadığı veya suçun kurucu unsurları ortaya konulamadığı takdirde,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beraat</w:t>
      </w:r>
      <w:r w:rsidRPr="00653373">
        <w:rPr>
          <w:rFonts w:ascii="Times New Roman" w:eastAsia="Times New Roman" w:hAnsi="Times New Roman" w:cs="Times New Roman"/>
          <w:kern w:val="0"/>
          <w:lang w:val="tr-TR"/>
          <w14:ligatures w14:val="none"/>
        </w:rPr>
        <w:t xml:space="preserve"> kararı verilmesini,</w:t>
      </w:r>
    </w:p>
    <w:p w14:paraId="0FBABC48"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lastRenderedPageBreak/>
        <w:t>C. AİHS m.6/1 Kapsamındaki İhlalin Giderilmesine Yönelik Talepler</w:t>
      </w:r>
    </w:p>
    <w:p w14:paraId="09D5DB52"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verilerinin </w:t>
      </w:r>
      <w:r w:rsidRPr="00653373">
        <w:rPr>
          <w:rFonts w:ascii="Times New Roman" w:eastAsia="Times New Roman" w:hAnsi="Times New Roman" w:cs="Times New Roman"/>
          <w:b/>
          <w:bCs/>
          <w:kern w:val="0"/>
          <w:lang w:val="tr-TR"/>
          <w14:ligatures w14:val="none"/>
        </w:rPr>
        <w:t>hangi hukuki yetkiye</w:t>
      </w:r>
      <w:r w:rsidRPr="00653373">
        <w:rPr>
          <w:rFonts w:ascii="Times New Roman" w:eastAsia="Times New Roman" w:hAnsi="Times New Roman" w:cs="Times New Roman"/>
          <w:kern w:val="0"/>
          <w:lang w:val="tr-TR"/>
          <w14:ligatures w14:val="none"/>
        </w:rPr>
        <w:t xml:space="preserve"> dayanılarak, </w:t>
      </w:r>
      <w:r w:rsidRPr="00653373">
        <w:rPr>
          <w:rFonts w:ascii="Times New Roman" w:eastAsia="Times New Roman" w:hAnsi="Times New Roman" w:cs="Times New Roman"/>
          <w:b/>
          <w:bCs/>
          <w:kern w:val="0"/>
          <w:lang w:val="tr-TR"/>
          <w14:ligatures w14:val="none"/>
        </w:rPr>
        <w:t>kimler tarafından</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ne zaman ve nasıl</w:t>
      </w:r>
      <w:r w:rsidRPr="00653373">
        <w:rPr>
          <w:rFonts w:ascii="Times New Roman" w:eastAsia="Times New Roman" w:hAnsi="Times New Roman" w:cs="Times New Roman"/>
          <w:kern w:val="0"/>
          <w:lang w:val="tr-TR"/>
          <w14:ligatures w14:val="none"/>
        </w:rPr>
        <w:t xml:space="preserve"> elde edildiğinin somutlaştırılmasını; ilk temas anında </w:t>
      </w:r>
      <w:r w:rsidRPr="00653373">
        <w:rPr>
          <w:rFonts w:ascii="Times New Roman" w:eastAsia="Times New Roman" w:hAnsi="Times New Roman" w:cs="Times New Roman"/>
          <w:b/>
          <w:bCs/>
          <w:kern w:val="0"/>
          <w:lang w:val="tr-TR"/>
          <w14:ligatures w14:val="none"/>
        </w:rPr>
        <w:t>hâkim kararı</w:t>
      </w:r>
      <w:r w:rsidRPr="00653373">
        <w:rPr>
          <w:rFonts w:ascii="Times New Roman" w:eastAsia="Times New Roman" w:hAnsi="Times New Roman" w:cs="Times New Roman"/>
          <w:kern w:val="0"/>
          <w:lang w:val="tr-TR"/>
          <w14:ligatures w14:val="none"/>
        </w:rPr>
        <w:t xml:space="preserve"> veya zorunlu hâlde </w:t>
      </w:r>
      <w:r w:rsidRPr="00653373">
        <w:rPr>
          <w:rFonts w:ascii="Times New Roman" w:eastAsia="Times New Roman" w:hAnsi="Times New Roman" w:cs="Times New Roman"/>
          <w:b/>
          <w:bCs/>
          <w:kern w:val="0"/>
          <w:lang w:val="tr-TR"/>
          <w14:ligatures w14:val="none"/>
        </w:rPr>
        <w:t>savcı emri + hâkim onayı</w:t>
      </w:r>
      <w:r w:rsidRPr="00653373">
        <w:rPr>
          <w:rFonts w:ascii="Times New Roman" w:eastAsia="Times New Roman" w:hAnsi="Times New Roman" w:cs="Times New Roman"/>
          <w:kern w:val="0"/>
          <w:lang w:val="tr-TR"/>
          <w14:ligatures w14:val="none"/>
        </w:rPr>
        <w:t xml:space="preserve"> bulunup bulunmadığının açıkça ortaya konulmasını; sonradan verilen kararların geçmiş işlemleri </w:t>
      </w:r>
      <w:r w:rsidRPr="00653373">
        <w:rPr>
          <w:rFonts w:ascii="Times New Roman" w:eastAsia="Times New Roman" w:hAnsi="Times New Roman" w:cs="Times New Roman"/>
          <w:b/>
          <w:bCs/>
          <w:kern w:val="0"/>
          <w:lang w:val="tr-TR"/>
          <w14:ligatures w14:val="none"/>
        </w:rPr>
        <w:t>hukuka uygun kılmayacağının</w:t>
      </w:r>
      <w:r w:rsidRPr="00653373">
        <w:rPr>
          <w:rFonts w:ascii="Times New Roman" w:eastAsia="Times New Roman" w:hAnsi="Times New Roman" w:cs="Times New Roman"/>
          <w:kern w:val="0"/>
          <w:lang w:val="tr-TR"/>
          <w14:ligatures w14:val="none"/>
        </w:rPr>
        <w:t xml:space="preserve"> kabulünü (Yalçınkaya, §§ 317, 334),</w:t>
      </w:r>
    </w:p>
    <w:p w14:paraId="6C4B7F00"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Yabancı sunucuya ilişkin arama-kopyalama-el koyma işlemlerinde </w:t>
      </w:r>
      <w:r w:rsidRPr="00653373">
        <w:rPr>
          <w:rFonts w:ascii="Times New Roman" w:eastAsia="Times New Roman" w:hAnsi="Times New Roman" w:cs="Times New Roman"/>
          <w:b/>
          <w:bCs/>
          <w:kern w:val="0"/>
          <w:lang w:val="tr-TR"/>
          <w14:ligatures w14:val="none"/>
        </w:rPr>
        <w:t>uluslararası adlî yardımlaşma (MLA)</w:t>
      </w:r>
      <w:r w:rsidRPr="00653373">
        <w:rPr>
          <w:rFonts w:ascii="Times New Roman" w:eastAsia="Times New Roman" w:hAnsi="Times New Roman" w:cs="Times New Roman"/>
          <w:kern w:val="0"/>
          <w:lang w:val="tr-TR"/>
          <w14:ligatures w14:val="none"/>
        </w:rPr>
        <w:t xml:space="preserve"> prosedürlerinin işletilip işletilmediğinin; ilgili yazışmalar, istinabe talepleri, ev sahibi ülke yargı kararları, arama-el koyma tutanakları, </w:t>
      </w:r>
      <w:proofErr w:type="spellStart"/>
      <w:r w:rsidRPr="00653373">
        <w:rPr>
          <w:rFonts w:ascii="Times New Roman" w:eastAsia="Times New Roman" w:hAnsi="Times New Roman" w:cs="Times New Roman"/>
          <w:b/>
          <w:bCs/>
          <w:kern w:val="0"/>
          <w:lang w:val="tr-TR"/>
          <w14:ligatures w14:val="none"/>
        </w:rPr>
        <w:t>hash</w:t>
      </w:r>
      <w:proofErr w:type="spellEnd"/>
      <w:r w:rsidRPr="00653373">
        <w:rPr>
          <w:rFonts w:ascii="Times New Roman" w:eastAsia="Times New Roman" w:hAnsi="Times New Roman" w:cs="Times New Roman"/>
          <w:b/>
          <w:bCs/>
          <w:kern w:val="0"/>
          <w:lang w:val="tr-TR"/>
          <w14:ligatures w14:val="none"/>
        </w:rPr>
        <w:t>/imaj</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zincirleme muhafaza</w:t>
      </w:r>
      <w:r w:rsidRPr="00653373">
        <w:rPr>
          <w:rFonts w:ascii="Times New Roman" w:eastAsia="Times New Roman" w:hAnsi="Times New Roman" w:cs="Times New Roman"/>
          <w:kern w:val="0"/>
          <w:lang w:val="tr-TR"/>
          <w14:ligatures w14:val="none"/>
        </w:rPr>
        <w:t xml:space="preserve"> kayıtlarıyla birlikte dosyaya kazandırılmasını; işletilmemişse bunun delilin </w:t>
      </w:r>
      <w:r w:rsidRPr="00653373">
        <w:rPr>
          <w:rFonts w:ascii="Times New Roman" w:eastAsia="Times New Roman" w:hAnsi="Times New Roman" w:cs="Times New Roman"/>
          <w:b/>
          <w:bCs/>
          <w:kern w:val="0"/>
          <w:lang w:val="tr-TR"/>
          <w14:ligatures w14:val="none"/>
        </w:rPr>
        <w:t>yasallığı ve güvenilirliği</w:t>
      </w:r>
      <w:r w:rsidRPr="00653373">
        <w:rPr>
          <w:rFonts w:ascii="Times New Roman" w:eastAsia="Times New Roman" w:hAnsi="Times New Roman" w:cs="Times New Roman"/>
          <w:kern w:val="0"/>
          <w:lang w:val="tr-TR"/>
          <w14:ligatures w14:val="none"/>
        </w:rPr>
        <w:t xml:space="preserve"> üzerindeki etkisinin gerekçeli biçimde tartışılmasını (Yalçınkaya, § 334),</w:t>
      </w:r>
    </w:p>
    <w:p w14:paraId="27541544"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Zincirleme muhafazanın ilk temas anından itibaren </w:t>
      </w:r>
      <w:r w:rsidRPr="00653373">
        <w:rPr>
          <w:rFonts w:ascii="Times New Roman" w:eastAsia="Times New Roman" w:hAnsi="Times New Roman" w:cs="Times New Roman"/>
          <w:b/>
          <w:bCs/>
          <w:kern w:val="0"/>
          <w:lang w:val="tr-TR"/>
          <w14:ligatures w14:val="none"/>
        </w:rPr>
        <w:t>eksiksiz ve denetlenebilir</w:t>
      </w:r>
      <w:r w:rsidRPr="00653373">
        <w:rPr>
          <w:rFonts w:ascii="Times New Roman" w:eastAsia="Times New Roman" w:hAnsi="Times New Roman" w:cs="Times New Roman"/>
          <w:kern w:val="0"/>
          <w:lang w:val="tr-TR"/>
          <w14:ligatures w14:val="none"/>
        </w:rPr>
        <w:t xml:space="preserve"> biçimde belgelenmesini; ilk </w:t>
      </w:r>
      <w:proofErr w:type="spellStart"/>
      <w:r w:rsidRPr="00653373">
        <w:rPr>
          <w:rFonts w:ascii="Times New Roman" w:eastAsia="Times New Roman" w:hAnsi="Times New Roman" w:cs="Times New Roman"/>
          <w:kern w:val="0"/>
          <w:lang w:val="tr-TR"/>
          <w14:ligatures w14:val="none"/>
        </w:rPr>
        <w:t>hash’in</w:t>
      </w:r>
      <w:proofErr w:type="spellEnd"/>
      <w:r w:rsidRPr="00653373">
        <w:rPr>
          <w:rFonts w:ascii="Times New Roman" w:eastAsia="Times New Roman" w:hAnsi="Times New Roman" w:cs="Times New Roman"/>
          <w:kern w:val="0"/>
          <w:lang w:val="tr-TR"/>
          <w14:ligatures w14:val="none"/>
        </w:rPr>
        <w:t xml:space="preserve"> bulunmaması veya bütünlüğün doğrulanamaması hâlinde, verinin </w:t>
      </w:r>
      <w:r w:rsidRPr="00653373">
        <w:rPr>
          <w:rFonts w:ascii="Times New Roman" w:eastAsia="Times New Roman" w:hAnsi="Times New Roman" w:cs="Times New Roman"/>
          <w:b/>
          <w:bCs/>
          <w:kern w:val="0"/>
          <w:lang w:val="tr-TR"/>
          <w14:ligatures w14:val="none"/>
        </w:rPr>
        <w:t>CMK m.206/2-a ve m.217/2</w:t>
      </w:r>
      <w:r w:rsidRPr="00653373">
        <w:rPr>
          <w:rFonts w:ascii="Times New Roman" w:eastAsia="Times New Roman" w:hAnsi="Times New Roman" w:cs="Times New Roman"/>
          <w:kern w:val="0"/>
          <w:lang w:val="tr-TR"/>
          <w14:ligatures w14:val="none"/>
        </w:rPr>
        <w:t xml:space="preserve"> uyarınca delil olarak kullanılmamasını (Yalçınkaya, § 333),</w:t>
      </w:r>
    </w:p>
    <w:p w14:paraId="5FC0ABB1"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2937 sayılı Kanun</w:t>
      </w:r>
      <w:r w:rsidRPr="00653373">
        <w:rPr>
          <w:rFonts w:ascii="Times New Roman" w:eastAsia="Times New Roman" w:hAnsi="Times New Roman" w:cs="Times New Roman"/>
          <w:kern w:val="0"/>
          <w:lang w:val="tr-TR"/>
          <w14:ligatures w14:val="none"/>
        </w:rPr>
        <w:t xml:space="preserve"> kapsamında </w:t>
      </w:r>
      <w:proofErr w:type="spellStart"/>
      <w:r w:rsidRPr="00653373">
        <w:rPr>
          <w:rFonts w:ascii="Times New Roman" w:eastAsia="Times New Roman" w:hAnsi="Times New Roman" w:cs="Times New Roman"/>
          <w:kern w:val="0"/>
          <w:lang w:val="tr-TR"/>
          <w14:ligatures w14:val="none"/>
        </w:rPr>
        <w:t>istihbarî</w:t>
      </w:r>
      <w:proofErr w:type="spellEnd"/>
      <w:r w:rsidRPr="00653373">
        <w:rPr>
          <w:rFonts w:ascii="Times New Roman" w:eastAsia="Times New Roman" w:hAnsi="Times New Roman" w:cs="Times New Roman"/>
          <w:kern w:val="0"/>
          <w:lang w:val="tr-TR"/>
          <w14:ligatures w14:val="none"/>
        </w:rPr>
        <w:t xml:space="preserve"> amaçla elde edilen verilerin ceza yargılamasında delil olarak kullanılamayacağı gözetilerek, bu nitelikteki materyallerin </w:t>
      </w:r>
      <w:r w:rsidRPr="00653373">
        <w:rPr>
          <w:rFonts w:ascii="Times New Roman" w:eastAsia="Times New Roman" w:hAnsi="Times New Roman" w:cs="Times New Roman"/>
          <w:b/>
          <w:bCs/>
          <w:kern w:val="0"/>
          <w:lang w:val="tr-TR"/>
          <w14:ligatures w14:val="none"/>
        </w:rPr>
        <w:t>CMK m.206/2-a ve m.217/2</w:t>
      </w:r>
      <w:r w:rsidRPr="00653373">
        <w:rPr>
          <w:rFonts w:ascii="Times New Roman" w:eastAsia="Times New Roman" w:hAnsi="Times New Roman" w:cs="Times New Roman"/>
          <w:kern w:val="0"/>
          <w:lang w:val="tr-TR"/>
          <w14:ligatures w14:val="none"/>
        </w:rPr>
        <w:t xml:space="preserve"> uyarınca değerlendirme dışı bırakılmasını,</w:t>
      </w:r>
    </w:p>
    <w:p w14:paraId="7D8784E8"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Savunmanın, kendisiyle ilgili </w:t>
      </w:r>
      <w:r w:rsidRPr="00653373">
        <w:rPr>
          <w:rFonts w:ascii="Times New Roman" w:eastAsia="Times New Roman" w:hAnsi="Times New Roman" w:cs="Times New Roman"/>
          <w:b/>
          <w:bCs/>
          <w:kern w:val="0"/>
          <w:lang w:val="tr-TR"/>
          <w14:ligatures w14:val="none"/>
        </w:rPr>
        <w:t xml:space="preserve">tüm ham </w:t>
      </w:r>
      <w:proofErr w:type="spellStart"/>
      <w:r w:rsidRPr="00653373">
        <w:rPr>
          <w:rFonts w:ascii="Times New Roman" w:eastAsia="Times New Roman" w:hAnsi="Times New Roman" w:cs="Times New Roman"/>
          <w:b/>
          <w:bCs/>
          <w:kern w:val="0"/>
          <w:lang w:val="tr-TR"/>
          <w14:ligatures w14:val="none"/>
        </w:rPr>
        <w:t>ByLock</w:t>
      </w:r>
      <w:proofErr w:type="spellEnd"/>
      <w:r w:rsidRPr="00653373">
        <w:rPr>
          <w:rFonts w:ascii="Times New Roman" w:eastAsia="Times New Roman" w:hAnsi="Times New Roman" w:cs="Times New Roman"/>
          <w:b/>
          <w:bCs/>
          <w:kern w:val="0"/>
          <w:lang w:val="tr-TR"/>
          <w14:ligatures w14:val="none"/>
        </w:rPr>
        <w:t xml:space="preserve"> verilerine</w:t>
      </w:r>
      <w:r w:rsidRPr="00653373">
        <w:rPr>
          <w:rFonts w:ascii="Times New Roman" w:eastAsia="Times New Roman" w:hAnsi="Times New Roman" w:cs="Times New Roman"/>
          <w:kern w:val="0"/>
          <w:lang w:val="tr-TR"/>
          <w14:ligatures w14:val="none"/>
        </w:rPr>
        <w:t xml:space="preserve"> (kullanıcı ID, IP, tarih-saat, mesaj, dosya ve meta veriler) </w:t>
      </w:r>
      <w:r w:rsidRPr="00653373">
        <w:rPr>
          <w:rFonts w:ascii="Times New Roman" w:eastAsia="Times New Roman" w:hAnsi="Times New Roman" w:cs="Times New Roman"/>
          <w:b/>
          <w:bCs/>
          <w:kern w:val="0"/>
          <w:lang w:val="tr-TR"/>
          <w14:ligatures w14:val="none"/>
        </w:rPr>
        <w:t>erişim ve inceleme</w:t>
      </w:r>
      <w:r w:rsidRPr="00653373">
        <w:rPr>
          <w:rFonts w:ascii="Times New Roman" w:eastAsia="Times New Roman" w:hAnsi="Times New Roman" w:cs="Times New Roman"/>
          <w:kern w:val="0"/>
          <w:lang w:val="tr-TR"/>
          <w14:ligatures w14:val="none"/>
        </w:rPr>
        <w:t xml:space="preserve"> imkânına sahip kılınmasını; bu veriler üzerinde </w:t>
      </w:r>
      <w:r w:rsidRPr="00653373">
        <w:rPr>
          <w:rFonts w:ascii="Times New Roman" w:eastAsia="Times New Roman" w:hAnsi="Times New Roman" w:cs="Times New Roman"/>
          <w:b/>
          <w:bCs/>
          <w:kern w:val="0"/>
          <w:lang w:val="tr-TR"/>
          <w14:ligatures w14:val="none"/>
        </w:rPr>
        <w:t>bağımsız ve tarafsız</w:t>
      </w:r>
      <w:r w:rsidRPr="00653373">
        <w:rPr>
          <w:rFonts w:ascii="Times New Roman" w:eastAsia="Times New Roman" w:hAnsi="Times New Roman" w:cs="Times New Roman"/>
          <w:kern w:val="0"/>
          <w:lang w:val="tr-TR"/>
          <w14:ligatures w14:val="none"/>
        </w:rPr>
        <w:t xml:space="preserve"> adlî bilişim bilirkişi incelemesi yaptırılmasını (Yalçınkaya, §§ 327, 336),</w:t>
      </w:r>
    </w:p>
    <w:p w14:paraId="5302AFCB"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“Münhasırlık” iddiasına dayanak tüm teknik rapor ve belgelerin ibrazını; mağaza kayıtları ve indirilme istatistikleriyle çelişkilerin açıklanmasını; çelişkiler giderilemezse iddianın </w:t>
      </w:r>
      <w:r w:rsidRPr="00653373">
        <w:rPr>
          <w:rFonts w:ascii="Times New Roman" w:eastAsia="Times New Roman" w:hAnsi="Times New Roman" w:cs="Times New Roman"/>
          <w:b/>
          <w:bCs/>
          <w:kern w:val="0"/>
          <w:lang w:val="tr-TR"/>
          <w14:ligatures w14:val="none"/>
        </w:rPr>
        <w:t>tek başına belirleyici delil</w:t>
      </w:r>
      <w:r w:rsidRPr="00653373">
        <w:rPr>
          <w:rFonts w:ascii="Times New Roman" w:eastAsia="Times New Roman" w:hAnsi="Times New Roman" w:cs="Times New Roman"/>
          <w:kern w:val="0"/>
          <w:lang w:val="tr-TR"/>
          <w14:ligatures w14:val="none"/>
        </w:rPr>
        <w:t xml:space="preserve"> sayılmamasını,</w:t>
      </w:r>
    </w:p>
    <w:p w14:paraId="291ECDCC"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Trafik/HTS kayıtlarının </w:t>
      </w:r>
      <w:r w:rsidRPr="00653373">
        <w:rPr>
          <w:rFonts w:ascii="Times New Roman" w:eastAsia="Times New Roman" w:hAnsi="Times New Roman" w:cs="Times New Roman"/>
          <w:b/>
          <w:bCs/>
          <w:kern w:val="0"/>
          <w:lang w:val="tr-TR"/>
          <w14:ligatures w14:val="none"/>
        </w:rPr>
        <w:t>saklama süresi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elde edilme yöntemi</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hukuka uygunluğu</w:t>
      </w:r>
      <w:r w:rsidRPr="00653373">
        <w:rPr>
          <w:rFonts w:ascii="Times New Roman" w:eastAsia="Times New Roman" w:hAnsi="Times New Roman" w:cs="Times New Roman"/>
          <w:kern w:val="0"/>
          <w:lang w:val="tr-TR"/>
          <w14:ligatures w14:val="none"/>
        </w:rPr>
        <w:t xml:space="preserve">nun ortaya konulmasını; hukuka aykırılığı tespit edilenlerin </w:t>
      </w:r>
      <w:r w:rsidRPr="00653373">
        <w:rPr>
          <w:rFonts w:ascii="Times New Roman" w:eastAsia="Times New Roman" w:hAnsi="Times New Roman" w:cs="Times New Roman"/>
          <w:b/>
          <w:bCs/>
          <w:kern w:val="0"/>
          <w:lang w:val="tr-TR"/>
          <w14:ligatures w14:val="none"/>
        </w:rPr>
        <w:t>CMK m.217/2</w:t>
      </w:r>
      <w:r w:rsidRPr="00653373">
        <w:rPr>
          <w:rFonts w:ascii="Times New Roman" w:eastAsia="Times New Roman" w:hAnsi="Times New Roman" w:cs="Times New Roman"/>
          <w:kern w:val="0"/>
          <w:lang w:val="tr-TR"/>
          <w14:ligatures w14:val="none"/>
        </w:rPr>
        <w:t xml:space="preserve"> uyarınca hükme esas alınmamasını,</w:t>
      </w:r>
    </w:p>
    <w:p w14:paraId="6341C864" w14:textId="4DA426DA"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Yukarıdaki inceleme ve doğrulamalar yapılmadan, </w:t>
      </w:r>
      <w:proofErr w:type="spellStart"/>
      <w:r w:rsidRPr="00653373">
        <w:rPr>
          <w:rFonts w:ascii="Times New Roman" w:eastAsia="Times New Roman" w:hAnsi="Times New Roman" w:cs="Times New Roman"/>
          <w:kern w:val="0"/>
          <w:lang w:val="tr-TR"/>
          <w14:ligatures w14:val="none"/>
        </w:rPr>
        <w:t>ByLock’a</w:t>
      </w:r>
      <w:proofErr w:type="spellEnd"/>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kategorik ağırlık</w:t>
      </w:r>
      <w:r w:rsidRPr="00653373">
        <w:rPr>
          <w:rFonts w:ascii="Times New Roman" w:eastAsia="Times New Roman" w:hAnsi="Times New Roman" w:cs="Times New Roman"/>
          <w:kern w:val="0"/>
          <w:lang w:val="tr-TR"/>
          <w14:ligatures w14:val="none"/>
        </w:rPr>
        <w:t xml:space="preserve"> verilerek bir hüküm kurulmamasını,</w:t>
      </w:r>
    </w:p>
    <w:p w14:paraId="6DB18954"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VI. HUKUKİ DAYANAKLAR</w:t>
      </w:r>
    </w:p>
    <w:p w14:paraId="2866FD6C" w14:textId="41D9DA13" w:rsidR="00653373" w:rsidRPr="00653373" w:rsidRDefault="00653373" w:rsidP="00AD04E0">
      <w:pPr>
        <w:spacing w:before="100" w:beforeAutospacing="1" w:after="100" w:afterAutospacing="1"/>
        <w:ind w:left="720"/>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Anayasa</w:t>
      </w:r>
      <w:r w:rsidRPr="00653373">
        <w:rPr>
          <w:rFonts w:ascii="Times New Roman" w:eastAsia="Times New Roman" w:hAnsi="Times New Roman" w:cs="Times New Roman"/>
          <w:kern w:val="0"/>
          <w:lang w:val="tr-TR"/>
          <w14:ligatures w14:val="none"/>
        </w:rPr>
        <w:t xml:space="preserve"> m.36, 38, 90; </w:t>
      </w:r>
      <w:r w:rsidRPr="00653373">
        <w:rPr>
          <w:rFonts w:ascii="Times New Roman" w:eastAsia="Times New Roman" w:hAnsi="Times New Roman" w:cs="Times New Roman"/>
          <w:b/>
          <w:bCs/>
          <w:kern w:val="0"/>
          <w:lang w:val="tr-TR"/>
          <w14:ligatures w14:val="none"/>
        </w:rPr>
        <w:t>AİHS</w:t>
      </w:r>
      <w:r w:rsidRPr="00653373">
        <w:rPr>
          <w:rFonts w:ascii="Times New Roman" w:eastAsia="Times New Roman" w:hAnsi="Times New Roman" w:cs="Times New Roman"/>
          <w:kern w:val="0"/>
          <w:lang w:val="tr-TR"/>
          <w14:ligatures w14:val="none"/>
        </w:rPr>
        <w:t xml:space="preserve"> m.6, 7, 46; </w:t>
      </w:r>
      <w:r w:rsidRPr="00653373">
        <w:rPr>
          <w:rFonts w:ascii="Times New Roman" w:eastAsia="Times New Roman" w:hAnsi="Times New Roman" w:cs="Times New Roman"/>
          <w:b/>
          <w:bCs/>
          <w:kern w:val="0"/>
          <w:lang w:val="tr-TR"/>
          <w14:ligatures w14:val="none"/>
        </w:rPr>
        <w:t>CMK</w:t>
      </w:r>
      <w:r w:rsidRPr="00653373">
        <w:rPr>
          <w:rFonts w:ascii="Times New Roman" w:eastAsia="Times New Roman" w:hAnsi="Times New Roman" w:cs="Times New Roman"/>
          <w:kern w:val="0"/>
          <w:lang w:val="tr-TR"/>
          <w14:ligatures w14:val="none"/>
        </w:rPr>
        <w:t xml:space="preserve"> m.206, 217, 223, 311, 312; </w:t>
      </w:r>
      <w:r w:rsidRPr="00653373">
        <w:rPr>
          <w:rFonts w:ascii="Times New Roman" w:eastAsia="Times New Roman" w:hAnsi="Times New Roman" w:cs="Times New Roman"/>
          <w:b/>
          <w:bCs/>
          <w:kern w:val="0"/>
          <w:lang w:val="tr-TR"/>
          <w14:ligatures w14:val="none"/>
        </w:rPr>
        <w:t>6216 sayılı Kanun</w:t>
      </w:r>
      <w:r w:rsidRPr="00653373">
        <w:rPr>
          <w:rFonts w:ascii="Times New Roman" w:eastAsia="Times New Roman" w:hAnsi="Times New Roman" w:cs="Times New Roman"/>
          <w:kern w:val="0"/>
          <w:lang w:val="tr-TR"/>
          <w14:ligatures w14:val="none"/>
        </w:rPr>
        <w:t xml:space="preserve"> m.50 ve ilgili sair mevzuat.</w:t>
      </w:r>
    </w:p>
    <w:p w14:paraId="1214D887"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VII. NETİCE-İ TALEP</w:t>
      </w:r>
    </w:p>
    <w:p w14:paraId="44C360AD" w14:textId="77777777" w:rsidR="00653373" w:rsidRPr="00653373" w:rsidRDefault="00653373" w:rsidP="00AD04E0">
      <w:pPr>
        <w:spacing w:before="100" w:beforeAutospacing="1" w:after="100" w:afterAutospacing="1"/>
        <w:ind w:left="720"/>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Yukarıda açıklanan nedenlerle;</w:t>
      </w:r>
    </w:p>
    <w:p w14:paraId="16609814" w14:textId="77777777" w:rsidR="00653373" w:rsidRPr="00653373" w:rsidRDefault="00653373" w:rsidP="00653373">
      <w:pPr>
        <w:numPr>
          <w:ilvl w:val="0"/>
          <w:numId w:val="16"/>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w:t>
      </w:r>
    </w:p>
    <w:p w14:paraId="12B6F8D5" w14:textId="77777777" w:rsidR="00653373" w:rsidRPr="00653373" w:rsidRDefault="00653373" w:rsidP="00653373">
      <w:pPr>
        <w:numPr>
          <w:ilvl w:val="0"/>
          <w:numId w:val="16"/>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Yargılama sonuçlanıncaya kadar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infazın durdurulmasına</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tahliyeme</w:t>
      </w:r>
      <w:r w:rsidRPr="00653373">
        <w:rPr>
          <w:rFonts w:ascii="Times New Roman" w:eastAsia="Times New Roman" w:hAnsi="Times New Roman" w:cs="Times New Roman"/>
          <w:kern w:val="0"/>
          <w:lang w:val="tr-TR"/>
          <w14:ligatures w14:val="none"/>
        </w:rPr>
        <w:t>,</w:t>
      </w:r>
    </w:p>
    <w:p w14:paraId="1074B463" w14:textId="77777777" w:rsidR="00653373" w:rsidRPr="00653373" w:rsidRDefault="00653373" w:rsidP="00653373">
      <w:pPr>
        <w:numPr>
          <w:ilvl w:val="0"/>
          <w:numId w:val="16"/>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 xml:space="preserve">Yeniden yargılama sonunda, isnat edilen suçun </w:t>
      </w:r>
      <w:r w:rsidRPr="00653373">
        <w:rPr>
          <w:rFonts w:ascii="Times New Roman" w:eastAsia="Times New Roman" w:hAnsi="Times New Roman" w:cs="Times New Roman"/>
          <w:b/>
          <w:bCs/>
          <w:kern w:val="0"/>
          <w:lang w:val="tr-TR"/>
          <w14:ligatures w14:val="none"/>
        </w:rPr>
        <w:t>kanuni ve manevi unsurları oluşmadığından</w:t>
      </w:r>
      <w:r w:rsidRPr="00653373">
        <w:rPr>
          <w:rFonts w:ascii="Times New Roman" w:eastAsia="Times New Roman" w:hAnsi="Times New Roman" w:cs="Times New Roman"/>
          <w:kern w:val="0"/>
          <w:lang w:val="tr-TR"/>
          <w14:ligatures w14:val="none"/>
        </w:rPr>
        <w:t xml:space="preserve"> ve her türlü şüpheden uzak, kesin ve inandırıcı delil bulunmadığından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gereğince </w:t>
      </w:r>
      <w:r w:rsidRPr="00653373">
        <w:rPr>
          <w:rFonts w:ascii="Times New Roman" w:eastAsia="Times New Roman" w:hAnsi="Times New Roman" w:cs="Times New Roman"/>
          <w:b/>
          <w:bCs/>
          <w:kern w:val="0"/>
          <w:lang w:val="tr-TR"/>
          <w14:ligatures w14:val="none"/>
        </w:rPr>
        <w:t>BERAATİME</w:t>
      </w:r>
      <w:r w:rsidRPr="00653373">
        <w:rPr>
          <w:rFonts w:ascii="Times New Roman" w:eastAsia="Times New Roman" w:hAnsi="Times New Roman" w:cs="Times New Roman"/>
          <w:kern w:val="0"/>
          <w:lang w:val="tr-TR"/>
          <w14:ligatures w14:val="none"/>
        </w:rPr>
        <w:t>,</w:t>
      </w:r>
    </w:p>
    <w:p w14:paraId="6838E57F" w14:textId="77777777"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proofErr w:type="gramStart"/>
      <w:r w:rsidRPr="00653373">
        <w:rPr>
          <w:rFonts w:ascii="Times New Roman" w:eastAsia="Times New Roman" w:hAnsi="Times New Roman" w:cs="Times New Roman"/>
          <w:kern w:val="0"/>
          <w:lang w:val="tr-TR"/>
          <w14:ligatures w14:val="none"/>
        </w:rPr>
        <w:t>karar</w:t>
      </w:r>
      <w:proofErr w:type="gramEnd"/>
      <w:r w:rsidRPr="00653373">
        <w:rPr>
          <w:rFonts w:ascii="Times New Roman" w:eastAsia="Times New Roman" w:hAnsi="Times New Roman" w:cs="Times New Roman"/>
          <w:kern w:val="0"/>
          <w:lang w:val="tr-TR"/>
          <w14:ligatures w14:val="none"/>
        </w:rPr>
        <w:t xml:space="preserve"> verilmesini saygılarımla arz ve talep ederim.</w:t>
      </w:r>
    </w:p>
    <w:p w14:paraId="64FA8F2F" w14:textId="56E17DD5"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Tarih:</w:t>
      </w:r>
      <w:r w:rsidRPr="00653373">
        <w:rPr>
          <w:rFonts w:ascii="Times New Roman" w:eastAsia="Times New Roman" w:hAnsi="Times New Roman" w:cs="Times New Roman"/>
          <w:kern w:val="0"/>
          <w:lang w:val="tr-TR"/>
          <w14:ligatures w14:val="none"/>
        </w:rPr>
        <w:t xml:space="preserve"> …/…/2025</w:t>
      </w:r>
      <w:r w:rsidRPr="00653373">
        <w:rPr>
          <w:rFonts w:ascii="Times New Roman" w:eastAsia="Times New Roman" w:hAnsi="Times New Roman" w:cs="Times New Roman"/>
          <w:kern w:val="0"/>
          <w:lang w:val="tr-TR"/>
          <w14:ligatures w14:val="none"/>
        </w:rPr>
        <w:br/>
      </w:r>
      <w:r w:rsidRPr="00653373">
        <w:rPr>
          <w:rFonts w:ascii="Times New Roman" w:eastAsia="Times New Roman" w:hAnsi="Times New Roman" w:cs="Times New Roman"/>
          <w:b/>
          <w:bCs/>
          <w:kern w:val="0"/>
          <w:lang w:val="tr-TR"/>
          <w14:ligatures w14:val="none"/>
        </w:rPr>
        <w:t>Hükümlü:</w:t>
      </w:r>
      <w:r w:rsidRPr="00653373">
        <w:rPr>
          <w:rFonts w:ascii="Times New Roman" w:eastAsia="Times New Roman" w:hAnsi="Times New Roman" w:cs="Times New Roman"/>
          <w:kern w:val="0"/>
          <w:lang w:val="tr-TR"/>
          <w14:ligatures w14:val="none"/>
        </w:rPr>
        <w:br/>
        <w:t>İmza</w:t>
      </w:r>
    </w:p>
    <w:p w14:paraId="7B53F150" w14:textId="77777777"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EKLER</w:t>
      </w:r>
    </w:p>
    <w:p w14:paraId="5E5D71D6"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Nüfus aile kayıt örneği</w:t>
      </w:r>
    </w:p>
    <w:p w14:paraId="41E50E9C"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T.C. kimlik fotokopisi</w:t>
      </w:r>
    </w:p>
    <w:p w14:paraId="0B6E57C8"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AİHM Demirhan ve Diğerleri/Türkiye kararı (Türkçe tercüme)</w:t>
      </w:r>
    </w:p>
    <w:p w14:paraId="232A56B8"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Ankara C. Başsavcılığı bilirkişi raporu (</w:t>
      </w:r>
      <w:proofErr w:type="spellStart"/>
      <w:r w:rsidRPr="00653373">
        <w:rPr>
          <w:rFonts w:ascii="Times New Roman" w:eastAsia="Times New Roman" w:hAnsi="Times New Roman" w:cs="Times New Roman"/>
          <w:kern w:val="0"/>
          <w:lang w:val="tr-TR"/>
          <w14:ligatures w14:val="none"/>
        </w:rPr>
        <w:t>ByLock</w:t>
      </w:r>
      <w:proofErr w:type="spellEnd"/>
      <w:r w:rsidRPr="00653373">
        <w:rPr>
          <w:rFonts w:ascii="Times New Roman" w:eastAsia="Times New Roman" w:hAnsi="Times New Roman" w:cs="Times New Roman"/>
          <w:kern w:val="0"/>
          <w:lang w:val="tr-TR"/>
          <w14:ligatures w14:val="none"/>
        </w:rPr>
        <w:t xml:space="preserve"> veri tabanı yapısı)</w:t>
      </w:r>
    </w:p>
    <w:p w14:paraId="70179D11" w14:textId="77777777" w:rsidR="00653373" w:rsidRPr="00653373" w:rsidRDefault="00653373">
      <w:pPr>
        <w:rPr>
          <w:lang w:val="tr-TR"/>
        </w:rPr>
      </w:pPr>
    </w:p>
    <w:sectPr w:rsidR="00653373" w:rsidRPr="0065337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682D" w14:textId="77777777" w:rsidR="00BD2125" w:rsidRDefault="00BD2125" w:rsidP="008708C0">
      <w:r>
        <w:separator/>
      </w:r>
    </w:p>
  </w:endnote>
  <w:endnote w:type="continuationSeparator" w:id="0">
    <w:p w14:paraId="47F2A5F4" w14:textId="77777777" w:rsidR="00BD2125" w:rsidRDefault="00BD2125" w:rsidP="0087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73081"/>
      <w:docPartObj>
        <w:docPartGallery w:val="Page Numbers (Bottom of Page)"/>
        <w:docPartUnique/>
      </w:docPartObj>
    </w:sdtPr>
    <w:sdtContent>
      <w:p w14:paraId="0810C4A5" w14:textId="7A3F91D3" w:rsidR="008708C0" w:rsidRDefault="008708C0" w:rsidP="00556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A3430" w14:textId="77777777" w:rsidR="008708C0" w:rsidRDefault="008708C0" w:rsidP="00870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82926"/>
      <w:docPartObj>
        <w:docPartGallery w:val="Page Numbers (Bottom of Page)"/>
        <w:docPartUnique/>
      </w:docPartObj>
    </w:sdtPr>
    <w:sdtContent>
      <w:p w14:paraId="36B739F8" w14:textId="3449DD3D" w:rsidR="008708C0" w:rsidRDefault="008708C0" w:rsidP="00556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5C9B1A" w14:textId="77777777" w:rsidR="008708C0" w:rsidRDefault="008708C0" w:rsidP="008708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5E9F" w14:textId="77777777" w:rsidR="00BD2125" w:rsidRDefault="00BD2125" w:rsidP="008708C0">
      <w:r>
        <w:separator/>
      </w:r>
    </w:p>
  </w:footnote>
  <w:footnote w:type="continuationSeparator" w:id="0">
    <w:p w14:paraId="6D58A36C" w14:textId="77777777" w:rsidR="00BD2125" w:rsidRDefault="00BD2125" w:rsidP="00870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F68"/>
    <w:multiLevelType w:val="multilevel"/>
    <w:tmpl w:val="43F0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53ECF"/>
    <w:multiLevelType w:val="multilevel"/>
    <w:tmpl w:val="7F88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010FD"/>
    <w:multiLevelType w:val="multilevel"/>
    <w:tmpl w:val="C22487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F2C06"/>
    <w:multiLevelType w:val="multilevel"/>
    <w:tmpl w:val="322290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0766B"/>
    <w:multiLevelType w:val="multilevel"/>
    <w:tmpl w:val="506CAB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C2198"/>
    <w:multiLevelType w:val="multilevel"/>
    <w:tmpl w:val="E1DEC7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55BCC"/>
    <w:multiLevelType w:val="multilevel"/>
    <w:tmpl w:val="F6EA05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F5AC1"/>
    <w:multiLevelType w:val="multilevel"/>
    <w:tmpl w:val="E334D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834F9"/>
    <w:multiLevelType w:val="multilevel"/>
    <w:tmpl w:val="FE825A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55767"/>
    <w:multiLevelType w:val="multilevel"/>
    <w:tmpl w:val="BE9E22F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61F60"/>
    <w:multiLevelType w:val="multilevel"/>
    <w:tmpl w:val="CC7429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F45A3"/>
    <w:multiLevelType w:val="multilevel"/>
    <w:tmpl w:val="8B62CE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D1A9A"/>
    <w:multiLevelType w:val="multilevel"/>
    <w:tmpl w:val="92D6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B244D8"/>
    <w:multiLevelType w:val="multilevel"/>
    <w:tmpl w:val="B334674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150E7"/>
    <w:multiLevelType w:val="multilevel"/>
    <w:tmpl w:val="EE8C0F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BA4D6B"/>
    <w:multiLevelType w:val="multilevel"/>
    <w:tmpl w:val="87AC4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22DE0"/>
    <w:multiLevelType w:val="multilevel"/>
    <w:tmpl w:val="39E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226056">
    <w:abstractNumId w:val="0"/>
  </w:num>
  <w:num w:numId="2" w16cid:durableId="912088894">
    <w:abstractNumId w:val="15"/>
  </w:num>
  <w:num w:numId="3" w16cid:durableId="388766272">
    <w:abstractNumId w:val="16"/>
  </w:num>
  <w:num w:numId="4" w16cid:durableId="1117454767">
    <w:abstractNumId w:val="7"/>
  </w:num>
  <w:num w:numId="5" w16cid:durableId="1445225324">
    <w:abstractNumId w:val="11"/>
  </w:num>
  <w:num w:numId="6" w16cid:durableId="1710304208">
    <w:abstractNumId w:val="5"/>
  </w:num>
  <w:num w:numId="7" w16cid:durableId="132597459">
    <w:abstractNumId w:val="2"/>
  </w:num>
  <w:num w:numId="8" w16cid:durableId="1597589237">
    <w:abstractNumId w:val="4"/>
  </w:num>
  <w:num w:numId="9" w16cid:durableId="1835754577">
    <w:abstractNumId w:val="14"/>
  </w:num>
  <w:num w:numId="10" w16cid:durableId="1022243996">
    <w:abstractNumId w:val="6"/>
  </w:num>
  <w:num w:numId="11" w16cid:durableId="48384437">
    <w:abstractNumId w:val="8"/>
  </w:num>
  <w:num w:numId="12" w16cid:durableId="1497914992">
    <w:abstractNumId w:val="10"/>
  </w:num>
  <w:num w:numId="13" w16cid:durableId="1213077374">
    <w:abstractNumId w:val="13"/>
  </w:num>
  <w:num w:numId="14" w16cid:durableId="31543357">
    <w:abstractNumId w:val="9"/>
  </w:num>
  <w:num w:numId="15" w16cid:durableId="2109042111">
    <w:abstractNumId w:val="3"/>
  </w:num>
  <w:num w:numId="16" w16cid:durableId="364871056">
    <w:abstractNumId w:val="1"/>
  </w:num>
  <w:num w:numId="17" w16cid:durableId="1571769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73"/>
    <w:rsid w:val="001A60BE"/>
    <w:rsid w:val="0056693B"/>
    <w:rsid w:val="00653373"/>
    <w:rsid w:val="006653F9"/>
    <w:rsid w:val="008708C0"/>
    <w:rsid w:val="00AD04E0"/>
    <w:rsid w:val="00BD2125"/>
    <w:rsid w:val="00C1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8421"/>
  <w15:chartTrackingRefBased/>
  <w15:docId w15:val="{EA99F7F1-50B5-2745-945A-6AF183F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5337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5337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37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5337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533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3373"/>
    <w:rPr>
      <w:b/>
      <w:bCs/>
    </w:rPr>
  </w:style>
  <w:style w:type="paragraph" w:styleId="Footer">
    <w:name w:val="footer"/>
    <w:basedOn w:val="Normal"/>
    <w:link w:val="FooterChar"/>
    <w:uiPriority w:val="99"/>
    <w:unhideWhenUsed/>
    <w:rsid w:val="008708C0"/>
    <w:pPr>
      <w:tabs>
        <w:tab w:val="center" w:pos="4680"/>
        <w:tab w:val="right" w:pos="9360"/>
      </w:tabs>
    </w:pPr>
  </w:style>
  <w:style w:type="character" w:customStyle="1" w:styleId="FooterChar">
    <w:name w:val="Footer Char"/>
    <w:basedOn w:val="DefaultParagraphFont"/>
    <w:link w:val="Footer"/>
    <w:uiPriority w:val="99"/>
    <w:rsid w:val="008708C0"/>
  </w:style>
  <w:style w:type="character" w:styleId="PageNumber">
    <w:name w:val="page number"/>
    <w:basedOn w:val="DefaultParagraphFont"/>
    <w:uiPriority w:val="99"/>
    <w:semiHidden/>
    <w:unhideWhenUsed/>
    <w:rsid w:val="0087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8235">
      <w:bodyDiv w:val="1"/>
      <w:marLeft w:val="0"/>
      <w:marRight w:val="0"/>
      <w:marTop w:val="0"/>
      <w:marBottom w:val="0"/>
      <w:divBdr>
        <w:top w:val="none" w:sz="0" w:space="0" w:color="auto"/>
        <w:left w:val="none" w:sz="0" w:space="0" w:color="auto"/>
        <w:bottom w:val="none" w:sz="0" w:space="0" w:color="auto"/>
        <w:right w:val="none" w:sz="0" w:space="0" w:color="auto"/>
      </w:divBdr>
      <w:divsChild>
        <w:div w:id="729036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2025-12-19T14:27:00Z</dcterms:created>
  <dcterms:modified xsi:type="dcterms:W3CDTF">2025-12-19T15:13:00Z</dcterms:modified>
</cp:coreProperties>
</file>